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B4B0" w14:textId="0B24B36F" w:rsidR="004455B6" w:rsidRPr="00416657" w:rsidRDefault="0022455C" w:rsidP="004455B6">
      <w:pPr>
        <w:autoSpaceDE w:val="0"/>
        <w:autoSpaceDN w:val="0"/>
        <w:adjustRightInd w:val="0"/>
        <w:spacing w:line="480" w:lineRule="auto"/>
        <w:contextualSpacing/>
        <w:jc w:val="center"/>
        <w:rPr>
          <w:rFonts w:cs="Arial"/>
          <w:b/>
          <w:szCs w:val="22"/>
          <w:lang w:val="en-US"/>
        </w:rPr>
      </w:pPr>
      <w:r w:rsidRPr="0022455C">
        <w:rPr>
          <w:rFonts w:cs="Arial"/>
          <w:b/>
          <w:szCs w:val="22"/>
          <w:lang w:val="en-US"/>
        </w:rPr>
        <w:t xml:space="preserve">Factors associated with daily use of </w:t>
      </w:r>
      <w:r w:rsidR="001624FD">
        <w:rPr>
          <w:rFonts w:cs="Arial"/>
          <w:b/>
          <w:szCs w:val="22"/>
          <w:lang w:val="en-US"/>
        </w:rPr>
        <w:t xml:space="preserve">both </w:t>
      </w:r>
      <w:r w:rsidRPr="0022455C">
        <w:rPr>
          <w:rFonts w:cs="Arial"/>
          <w:b/>
          <w:szCs w:val="22"/>
          <w:lang w:val="en-US"/>
        </w:rPr>
        <w:t xml:space="preserve">benzodiazepines and opioids among people who use </w:t>
      </w:r>
      <w:r w:rsidR="00A20FC3">
        <w:rPr>
          <w:rFonts w:cs="Arial"/>
          <w:b/>
          <w:szCs w:val="22"/>
          <w:lang w:val="en-US"/>
        </w:rPr>
        <w:t>non-prescribed</w:t>
      </w:r>
      <w:r w:rsidR="00FD54F0">
        <w:rPr>
          <w:rFonts w:cs="Arial"/>
          <w:b/>
          <w:szCs w:val="22"/>
          <w:lang w:val="en-US"/>
        </w:rPr>
        <w:t xml:space="preserve"> </w:t>
      </w:r>
      <w:r w:rsidRPr="0022455C">
        <w:rPr>
          <w:rFonts w:cs="Arial"/>
          <w:b/>
          <w:szCs w:val="22"/>
          <w:lang w:val="en-US"/>
        </w:rPr>
        <w:t>opioids</w:t>
      </w:r>
    </w:p>
    <w:p w14:paraId="4F8FEA61" w14:textId="1A046798" w:rsidR="004455B6" w:rsidRPr="0022455C" w:rsidRDefault="0022455C" w:rsidP="004455B6">
      <w:pPr>
        <w:spacing w:before="0" w:line="480" w:lineRule="auto"/>
        <w:contextualSpacing/>
        <w:jc w:val="center"/>
        <w:rPr>
          <w:iCs/>
          <w:szCs w:val="22"/>
          <w:vertAlign w:val="superscript"/>
          <w:lang w:val="en-US"/>
        </w:rPr>
      </w:pPr>
      <w:r w:rsidRPr="0022455C">
        <w:rPr>
          <w:iCs/>
          <w:szCs w:val="22"/>
          <w:lang w:val="en-US"/>
        </w:rPr>
        <w:t>Zofia Kozak</w:t>
      </w:r>
      <w:r w:rsidR="00F4520E">
        <w:rPr>
          <w:iCs/>
          <w:szCs w:val="22"/>
          <w:lang w:val="en-US"/>
        </w:rPr>
        <w:t xml:space="preserve">, </w:t>
      </w:r>
      <w:proofErr w:type="spellStart"/>
      <w:r w:rsidR="00F4520E">
        <w:rPr>
          <w:iCs/>
          <w:szCs w:val="22"/>
          <w:lang w:val="en-US"/>
        </w:rPr>
        <w:t>MD</w:t>
      </w:r>
      <w:r w:rsidR="001A1C11">
        <w:rPr>
          <w:iCs/>
          <w:szCs w:val="22"/>
          <w:vertAlign w:val="superscript"/>
          <w:lang w:val="en-US"/>
        </w:rPr>
        <w:t>a</w:t>
      </w:r>
      <w:proofErr w:type="spellEnd"/>
      <w:r w:rsidRPr="0022455C">
        <w:rPr>
          <w:iCs/>
          <w:szCs w:val="22"/>
          <w:lang w:val="en-US"/>
        </w:rPr>
        <w:t>, Glenna J. Urquhart</w:t>
      </w:r>
      <w:r w:rsidR="00F4520E">
        <w:rPr>
          <w:iCs/>
          <w:szCs w:val="22"/>
          <w:lang w:val="en-US"/>
        </w:rPr>
        <w:t xml:space="preserve">, </w:t>
      </w:r>
      <w:proofErr w:type="spellStart"/>
      <w:r w:rsidR="00F4520E">
        <w:rPr>
          <w:iCs/>
          <w:szCs w:val="22"/>
          <w:lang w:val="en-US"/>
        </w:rPr>
        <w:t>MPH</w:t>
      </w:r>
      <w:r w:rsidR="001A1C11">
        <w:rPr>
          <w:iCs/>
          <w:szCs w:val="22"/>
          <w:vertAlign w:val="superscript"/>
          <w:lang w:val="en-US"/>
        </w:rPr>
        <w:t>b</w:t>
      </w:r>
      <w:proofErr w:type="spellEnd"/>
      <w:r w:rsidRPr="0022455C">
        <w:rPr>
          <w:iCs/>
          <w:szCs w:val="22"/>
          <w:lang w:val="en-US"/>
        </w:rPr>
        <w:t>, Saba Rouhani</w:t>
      </w:r>
      <w:r w:rsidR="00F4520E">
        <w:rPr>
          <w:iCs/>
          <w:szCs w:val="22"/>
          <w:lang w:val="en-US"/>
        </w:rPr>
        <w:t xml:space="preserve">, </w:t>
      </w:r>
      <w:proofErr w:type="spellStart"/>
      <w:r w:rsidR="00F4520E">
        <w:rPr>
          <w:iCs/>
          <w:szCs w:val="22"/>
          <w:lang w:val="en-US"/>
        </w:rPr>
        <w:t>PhD</w:t>
      </w:r>
      <w:r w:rsidR="001A1C11">
        <w:rPr>
          <w:iCs/>
          <w:szCs w:val="22"/>
          <w:vertAlign w:val="superscript"/>
          <w:lang w:val="en-US"/>
        </w:rPr>
        <w:t>b</w:t>
      </w:r>
      <w:proofErr w:type="spellEnd"/>
      <w:r w:rsidRPr="0022455C">
        <w:rPr>
          <w:iCs/>
          <w:szCs w:val="22"/>
          <w:lang w:val="en-US"/>
        </w:rPr>
        <w:t>, Sean T. Allen</w:t>
      </w:r>
      <w:r w:rsidR="00F4520E">
        <w:rPr>
          <w:iCs/>
          <w:szCs w:val="22"/>
          <w:lang w:val="en-US"/>
        </w:rPr>
        <w:t xml:space="preserve">, </w:t>
      </w:r>
      <w:proofErr w:type="spellStart"/>
      <w:r w:rsidR="00F4520E">
        <w:rPr>
          <w:iCs/>
          <w:szCs w:val="22"/>
          <w:lang w:val="en-US"/>
        </w:rPr>
        <w:t>PhD</w:t>
      </w:r>
      <w:r w:rsidR="001A1C11">
        <w:rPr>
          <w:iCs/>
          <w:szCs w:val="22"/>
          <w:vertAlign w:val="superscript"/>
          <w:lang w:val="en-US"/>
        </w:rPr>
        <w:t>b</w:t>
      </w:r>
      <w:proofErr w:type="spellEnd"/>
      <w:r w:rsidRPr="0022455C">
        <w:rPr>
          <w:iCs/>
          <w:szCs w:val="22"/>
          <w:lang w:val="en-US"/>
        </w:rPr>
        <w:t xml:space="preserve">, Ju </w:t>
      </w:r>
      <w:proofErr w:type="spellStart"/>
      <w:r w:rsidRPr="0022455C">
        <w:rPr>
          <w:iCs/>
          <w:szCs w:val="22"/>
          <w:lang w:val="en-US"/>
        </w:rPr>
        <w:t>Nyeong</w:t>
      </w:r>
      <w:proofErr w:type="spellEnd"/>
      <w:r w:rsidRPr="0022455C">
        <w:rPr>
          <w:iCs/>
          <w:szCs w:val="22"/>
          <w:lang w:val="en-US"/>
        </w:rPr>
        <w:t xml:space="preserve"> Park</w:t>
      </w:r>
      <w:r w:rsidR="00F4520E">
        <w:rPr>
          <w:iCs/>
          <w:szCs w:val="22"/>
          <w:lang w:val="en-US"/>
        </w:rPr>
        <w:t xml:space="preserve">, </w:t>
      </w:r>
      <w:proofErr w:type="spellStart"/>
      <w:r w:rsidR="00F4520E">
        <w:rPr>
          <w:iCs/>
          <w:szCs w:val="22"/>
          <w:lang w:val="en-US"/>
        </w:rPr>
        <w:t>PhD</w:t>
      </w:r>
      <w:r w:rsidR="001A1C11">
        <w:rPr>
          <w:iCs/>
          <w:szCs w:val="22"/>
          <w:vertAlign w:val="superscript"/>
          <w:lang w:val="en-US"/>
        </w:rPr>
        <w:t>b</w:t>
      </w:r>
      <w:proofErr w:type="spellEnd"/>
      <w:r w:rsidRPr="0022455C">
        <w:rPr>
          <w:iCs/>
          <w:szCs w:val="22"/>
          <w:lang w:val="en-US"/>
        </w:rPr>
        <w:t>, Susan G. Sherman</w:t>
      </w:r>
      <w:r w:rsidR="00F4520E">
        <w:rPr>
          <w:iCs/>
          <w:szCs w:val="22"/>
          <w:lang w:val="en-US"/>
        </w:rPr>
        <w:t xml:space="preserve">, </w:t>
      </w:r>
      <w:proofErr w:type="spellStart"/>
      <w:r w:rsidR="00F4520E">
        <w:rPr>
          <w:iCs/>
          <w:szCs w:val="22"/>
          <w:lang w:val="en-US"/>
        </w:rPr>
        <w:t>PhD</w:t>
      </w:r>
      <w:r w:rsidR="001A1C11">
        <w:rPr>
          <w:iCs/>
          <w:szCs w:val="22"/>
          <w:vertAlign w:val="superscript"/>
          <w:lang w:val="en-US"/>
        </w:rPr>
        <w:t>b</w:t>
      </w:r>
      <w:proofErr w:type="spellEnd"/>
    </w:p>
    <w:p w14:paraId="03ED6C60" w14:textId="5FA71E52" w:rsidR="0022455C" w:rsidRPr="0022455C" w:rsidRDefault="001A1C11" w:rsidP="002F13A5">
      <w:pPr>
        <w:spacing w:before="0" w:line="480" w:lineRule="auto"/>
        <w:contextualSpacing/>
        <w:rPr>
          <w:iCs/>
          <w:szCs w:val="22"/>
          <w:lang w:val="en-US"/>
        </w:rPr>
      </w:pPr>
      <w:r>
        <w:rPr>
          <w:iCs/>
          <w:szCs w:val="22"/>
          <w:vertAlign w:val="superscript"/>
          <w:lang w:val="en-US"/>
        </w:rPr>
        <w:t>a</w:t>
      </w:r>
      <w:r w:rsidR="002F13A5">
        <w:rPr>
          <w:iCs/>
          <w:szCs w:val="22"/>
          <w:lang w:val="en-US"/>
        </w:rPr>
        <w:t xml:space="preserve"> Department of Psychiatry, </w:t>
      </w:r>
      <w:r w:rsidR="0022455C" w:rsidRPr="0022455C">
        <w:rPr>
          <w:iCs/>
          <w:szCs w:val="22"/>
          <w:lang w:val="en-US"/>
        </w:rPr>
        <w:t>University of Maryland School of Medicine, 701 W. Pratt St., 4th Floor, Baltimore, MD 21201, U</w:t>
      </w:r>
      <w:r>
        <w:rPr>
          <w:iCs/>
          <w:szCs w:val="22"/>
          <w:lang w:val="en-US"/>
        </w:rPr>
        <w:t>SA</w:t>
      </w:r>
    </w:p>
    <w:p w14:paraId="46634FBA" w14:textId="5C12646F" w:rsidR="0022455C" w:rsidRPr="0022455C" w:rsidRDefault="001A1C11" w:rsidP="001A1C11">
      <w:pPr>
        <w:spacing w:before="0" w:line="480" w:lineRule="auto"/>
        <w:contextualSpacing/>
        <w:rPr>
          <w:iCs/>
          <w:szCs w:val="22"/>
          <w:lang w:val="en-US"/>
        </w:rPr>
      </w:pPr>
      <w:r>
        <w:rPr>
          <w:iCs/>
          <w:szCs w:val="22"/>
          <w:vertAlign w:val="superscript"/>
          <w:lang w:val="en-US"/>
        </w:rPr>
        <w:t>b</w:t>
      </w:r>
      <w:r w:rsidR="0022455C" w:rsidRPr="0022455C">
        <w:rPr>
          <w:iCs/>
          <w:szCs w:val="22"/>
          <w:lang w:val="en-US"/>
        </w:rPr>
        <w:t xml:space="preserve"> Department of Health, Behavior, and Society, Johns Hopkins Bloomberg School of Public Health, 624 N. Broadway Street, Hampton House Suite 749, Baltimore, MD 21205, USA</w:t>
      </w:r>
    </w:p>
    <w:p w14:paraId="436498A0" w14:textId="09517FB9" w:rsidR="00A8220D" w:rsidRDefault="00A8220D" w:rsidP="00A119E2">
      <w:pPr>
        <w:spacing w:line="480" w:lineRule="auto"/>
        <w:contextualSpacing/>
        <w:rPr>
          <w:szCs w:val="22"/>
          <w:lang w:val="en-US"/>
        </w:rPr>
      </w:pPr>
    </w:p>
    <w:p w14:paraId="053FFC15" w14:textId="0121F051" w:rsidR="00A8220D" w:rsidRPr="00416657" w:rsidRDefault="00A8220D" w:rsidP="00A119E2">
      <w:pPr>
        <w:spacing w:line="480" w:lineRule="auto"/>
        <w:contextualSpacing/>
        <w:rPr>
          <w:szCs w:val="22"/>
          <w:lang w:val="en-US"/>
        </w:rPr>
      </w:pPr>
      <w:r w:rsidRPr="00416657">
        <w:rPr>
          <w:szCs w:val="22"/>
          <w:lang w:val="en-US"/>
        </w:rPr>
        <w:t>Word abstract:</w:t>
      </w:r>
      <w:r w:rsidR="003838E3" w:rsidRPr="00416657">
        <w:rPr>
          <w:szCs w:val="22"/>
          <w:lang w:val="en-US"/>
        </w:rPr>
        <w:t xml:space="preserve"> </w:t>
      </w:r>
      <w:r w:rsidR="001A11FA">
        <w:rPr>
          <w:szCs w:val="22"/>
          <w:lang w:val="en-US"/>
        </w:rPr>
        <w:t>24</w:t>
      </w:r>
      <w:r w:rsidR="009516FC">
        <w:rPr>
          <w:szCs w:val="22"/>
          <w:lang w:val="en-US"/>
        </w:rPr>
        <w:t>8</w:t>
      </w:r>
    </w:p>
    <w:p w14:paraId="501A542B" w14:textId="53F49E65" w:rsidR="00255237" w:rsidRDefault="00A8220D" w:rsidP="0022455C">
      <w:pPr>
        <w:spacing w:line="480" w:lineRule="auto"/>
        <w:contextualSpacing/>
        <w:rPr>
          <w:szCs w:val="22"/>
          <w:lang w:val="en-US"/>
        </w:rPr>
      </w:pPr>
      <w:r w:rsidRPr="00416657">
        <w:rPr>
          <w:szCs w:val="22"/>
          <w:lang w:val="en-US"/>
        </w:rPr>
        <w:t xml:space="preserve">Words main text: </w:t>
      </w:r>
      <w:r w:rsidR="001A11FA">
        <w:rPr>
          <w:szCs w:val="22"/>
          <w:lang w:val="en-US"/>
        </w:rPr>
        <w:t>3</w:t>
      </w:r>
      <w:r w:rsidR="009516FC">
        <w:rPr>
          <w:szCs w:val="22"/>
          <w:lang w:val="en-US"/>
        </w:rPr>
        <w:t>277</w:t>
      </w:r>
    </w:p>
    <w:p w14:paraId="6831DDE6" w14:textId="2928C066" w:rsidR="004455B6" w:rsidRPr="004455B6" w:rsidRDefault="004455B6" w:rsidP="0022455C">
      <w:pPr>
        <w:spacing w:line="480" w:lineRule="auto"/>
        <w:contextualSpacing/>
        <w:rPr>
          <w:szCs w:val="22"/>
          <w:lang w:val="en-US"/>
        </w:rPr>
      </w:pPr>
      <w:r w:rsidRPr="004455B6">
        <w:rPr>
          <w:szCs w:val="22"/>
          <w:lang w:val="en-US"/>
        </w:rPr>
        <w:t xml:space="preserve">Number of references: </w:t>
      </w:r>
      <w:r w:rsidR="009516FC">
        <w:rPr>
          <w:szCs w:val="22"/>
          <w:lang w:val="en-US"/>
        </w:rPr>
        <w:t>37</w:t>
      </w:r>
    </w:p>
    <w:p w14:paraId="34C850B6" w14:textId="77777777" w:rsidR="00356A16" w:rsidRDefault="00356A16" w:rsidP="0022455C">
      <w:pPr>
        <w:spacing w:line="480" w:lineRule="auto"/>
        <w:contextualSpacing/>
        <w:rPr>
          <w:b/>
        </w:rPr>
      </w:pPr>
    </w:p>
    <w:p w14:paraId="46690284" w14:textId="58913BBC" w:rsidR="00255237" w:rsidRDefault="0053348C" w:rsidP="0022455C">
      <w:pPr>
        <w:spacing w:line="480" w:lineRule="auto"/>
        <w:contextualSpacing/>
      </w:pPr>
      <w:r w:rsidRPr="00785032">
        <w:rPr>
          <w:b/>
        </w:rPr>
        <w:t>Corresponding author</w:t>
      </w:r>
      <w:r w:rsidRPr="00785032">
        <w:t xml:space="preserve">: </w:t>
      </w:r>
      <w:r w:rsidR="0022455C">
        <w:t>Zofia Kozak</w:t>
      </w:r>
      <w:r w:rsidRPr="00785032">
        <w:t xml:space="preserve">, </w:t>
      </w:r>
      <w:r w:rsidR="0022455C" w:rsidRPr="0022455C">
        <w:rPr>
          <w:iCs/>
          <w:szCs w:val="22"/>
          <w:lang w:val="en-US"/>
        </w:rPr>
        <w:t>University of Maryland School of Medicine, 701 W. Pratt St., 4th Floor, Baltimore, MD 21201, United States</w:t>
      </w:r>
      <w:r>
        <w:t>,</w:t>
      </w:r>
      <w:r w:rsidR="0022455C">
        <w:t xml:space="preserve"> </w:t>
      </w:r>
      <w:hyperlink r:id="rId8" w:history="1">
        <w:r w:rsidR="00F4520E" w:rsidRPr="009C5F64">
          <w:rPr>
            <w:rStyle w:val="Hyperlink"/>
          </w:rPr>
          <w:t>Zofia.Kozak@som.umaryland.edu</w:t>
        </w:r>
      </w:hyperlink>
      <w:r w:rsidR="00F4520E">
        <w:t>, Phone number: 410-328-6325, Fax: 443-222-9422</w:t>
      </w:r>
      <w:r w:rsidR="0022455C">
        <w:t xml:space="preserve"> </w:t>
      </w:r>
    </w:p>
    <w:p w14:paraId="56AD8CAA" w14:textId="5AFA28C7" w:rsidR="00F4520E" w:rsidRDefault="00F4520E" w:rsidP="0022455C">
      <w:pPr>
        <w:spacing w:line="480" w:lineRule="auto"/>
        <w:contextualSpacing/>
      </w:pPr>
    </w:p>
    <w:p w14:paraId="4D3A2F23" w14:textId="338ECCEC" w:rsidR="00F4520E" w:rsidRDefault="00F4520E" w:rsidP="00F4520E">
      <w:pPr>
        <w:spacing w:before="0" w:line="480" w:lineRule="auto"/>
        <w:contextualSpacing/>
        <w:rPr>
          <w:bCs/>
          <w:lang w:val="en-US"/>
        </w:rPr>
      </w:pPr>
      <w:r w:rsidRPr="00416657">
        <w:rPr>
          <w:b/>
          <w:lang w:val="en-US"/>
        </w:rPr>
        <w:t>Funding</w:t>
      </w:r>
      <w:r>
        <w:rPr>
          <w:bCs/>
          <w:lang w:val="en-US"/>
        </w:rPr>
        <w:t xml:space="preserve">: </w:t>
      </w:r>
      <w:r w:rsidRPr="003A6BF8">
        <w:rPr>
          <w:bCs/>
          <w:lang w:val="en-US"/>
        </w:rPr>
        <w:t xml:space="preserve">The project was supported by Behavioral Health System Baltimore (AS019-HRO-JHPH) and the Maryland Department of Health and Mental Hygiene through Substance Abuse and Mental Health Services Administration block grant (128188). Dr. Susan G. Sherman and Dr. Ju </w:t>
      </w:r>
      <w:proofErr w:type="spellStart"/>
      <w:r w:rsidRPr="003A6BF8">
        <w:rPr>
          <w:bCs/>
          <w:lang w:val="en-US"/>
        </w:rPr>
        <w:t>Nyeong</w:t>
      </w:r>
      <w:proofErr w:type="spellEnd"/>
      <w:r w:rsidRPr="003A6BF8">
        <w:rPr>
          <w:bCs/>
          <w:lang w:val="en-US"/>
        </w:rPr>
        <w:t xml:space="preserve"> Park were supported by the Johns Hopkins University Center for AIDS Research (1P30AI094189). Dr. Saba Rouhani is a National Institute of Health Drug Dependency Epidemiology Fellow supported by the National Institute for Drug Abuse (T32DA007292). Dr. Allen is supported by the National Institutes of Health (K01DA046234).</w:t>
      </w:r>
    </w:p>
    <w:p w14:paraId="54E5147F" w14:textId="27B0F3D8" w:rsidR="004455B6" w:rsidRDefault="004455B6" w:rsidP="004455B6">
      <w:pPr>
        <w:spacing w:line="480" w:lineRule="auto"/>
        <w:contextualSpacing/>
        <w:rPr>
          <w:b/>
          <w:lang w:val="en-US"/>
        </w:rPr>
      </w:pPr>
      <w:r w:rsidRPr="00416657">
        <w:rPr>
          <w:b/>
          <w:lang w:val="en-US"/>
        </w:rPr>
        <w:lastRenderedPageBreak/>
        <w:t>Declaration of interests</w:t>
      </w:r>
      <w:r>
        <w:rPr>
          <w:b/>
          <w:lang w:val="en-US"/>
        </w:rPr>
        <w:t xml:space="preserve">: </w:t>
      </w:r>
      <w:r w:rsidRPr="003A6BF8">
        <w:rPr>
          <w:bCs/>
          <w:lang w:val="en-US"/>
        </w:rPr>
        <w:t>Susan G. Sherman is an expert witness for plaintiffs in ongoing opioid litigation.</w:t>
      </w:r>
    </w:p>
    <w:p w14:paraId="4A876708" w14:textId="77777777" w:rsidR="004455B6" w:rsidRPr="004455B6" w:rsidRDefault="004455B6" w:rsidP="004455B6">
      <w:pPr>
        <w:spacing w:line="480" w:lineRule="auto"/>
        <w:contextualSpacing/>
        <w:rPr>
          <w:b/>
          <w:lang w:val="en-US"/>
        </w:rPr>
      </w:pPr>
    </w:p>
    <w:p w14:paraId="5BC91CA5" w14:textId="77777777" w:rsidR="004455B6" w:rsidRPr="004455B6" w:rsidRDefault="004455B6" w:rsidP="0022455C">
      <w:pPr>
        <w:spacing w:line="480" w:lineRule="auto"/>
        <w:contextualSpacing/>
        <w:rPr>
          <w:bCs/>
          <w:lang w:val="en-US"/>
        </w:rPr>
      </w:pPr>
      <w:r w:rsidRPr="004455B6">
        <w:rPr>
          <w:bCs/>
          <w:lang w:val="en-US"/>
        </w:rPr>
        <w:t xml:space="preserve">The manuscript was not posted on a preprint server. </w:t>
      </w:r>
    </w:p>
    <w:p w14:paraId="295FD118" w14:textId="77777777" w:rsidR="00E240C8" w:rsidRDefault="00E240C8" w:rsidP="0022455C">
      <w:pPr>
        <w:spacing w:line="480" w:lineRule="auto"/>
        <w:contextualSpacing/>
        <w:rPr>
          <w:b/>
          <w:lang w:val="en-US"/>
        </w:rPr>
      </w:pPr>
    </w:p>
    <w:p w14:paraId="081453B2" w14:textId="77777777" w:rsidR="00E240C8" w:rsidRDefault="00E240C8" w:rsidP="0022455C">
      <w:pPr>
        <w:spacing w:line="480" w:lineRule="auto"/>
        <w:contextualSpacing/>
        <w:rPr>
          <w:b/>
          <w:lang w:val="en-US"/>
        </w:rPr>
      </w:pPr>
    </w:p>
    <w:p w14:paraId="17D376A1" w14:textId="77777777" w:rsidR="00E240C8" w:rsidRDefault="00E240C8" w:rsidP="0022455C">
      <w:pPr>
        <w:spacing w:line="480" w:lineRule="auto"/>
        <w:contextualSpacing/>
        <w:rPr>
          <w:b/>
          <w:lang w:val="en-US"/>
        </w:rPr>
      </w:pPr>
    </w:p>
    <w:p w14:paraId="5059F0BE" w14:textId="77777777" w:rsidR="00E240C8" w:rsidRDefault="00E240C8" w:rsidP="0022455C">
      <w:pPr>
        <w:spacing w:line="480" w:lineRule="auto"/>
        <w:contextualSpacing/>
        <w:rPr>
          <w:b/>
          <w:lang w:val="en-US"/>
        </w:rPr>
      </w:pPr>
    </w:p>
    <w:p w14:paraId="26A8FB4A" w14:textId="06DA54AF" w:rsidR="00E240C8" w:rsidRDefault="00E240C8" w:rsidP="0022455C">
      <w:pPr>
        <w:spacing w:line="480" w:lineRule="auto"/>
        <w:contextualSpacing/>
        <w:rPr>
          <w:b/>
          <w:lang w:val="en-US"/>
        </w:rPr>
      </w:pPr>
    </w:p>
    <w:p w14:paraId="00EF6225" w14:textId="32C2AC3C" w:rsidR="00E240C8" w:rsidRDefault="00E240C8" w:rsidP="0022455C">
      <w:pPr>
        <w:spacing w:line="480" w:lineRule="auto"/>
        <w:contextualSpacing/>
        <w:rPr>
          <w:b/>
          <w:lang w:val="en-US"/>
        </w:rPr>
      </w:pPr>
    </w:p>
    <w:p w14:paraId="715658F4" w14:textId="77777777" w:rsidR="00B86C58" w:rsidRDefault="00B86C58" w:rsidP="0022455C">
      <w:pPr>
        <w:spacing w:line="480" w:lineRule="auto"/>
        <w:contextualSpacing/>
        <w:rPr>
          <w:b/>
          <w:lang w:val="en-US"/>
        </w:rPr>
      </w:pPr>
    </w:p>
    <w:p w14:paraId="394198D7" w14:textId="47887546" w:rsidR="00E240C8" w:rsidRDefault="00E240C8" w:rsidP="0022455C">
      <w:pPr>
        <w:spacing w:line="480" w:lineRule="auto"/>
        <w:contextualSpacing/>
        <w:rPr>
          <w:b/>
          <w:lang w:val="en-US"/>
        </w:rPr>
      </w:pPr>
    </w:p>
    <w:p w14:paraId="5907D053" w14:textId="1BCFEE73" w:rsidR="004455B6" w:rsidRDefault="004455B6" w:rsidP="0022455C">
      <w:pPr>
        <w:spacing w:line="480" w:lineRule="auto"/>
        <w:contextualSpacing/>
        <w:rPr>
          <w:b/>
          <w:lang w:val="en-US"/>
        </w:rPr>
      </w:pPr>
    </w:p>
    <w:p w14:paraId="12FB73A4" w14:textId="53902774" w:rsidR="004455B6" w:rsidRDefault="004455B6" w:rsidP="0022455C">
      <w:pPr>
        <w:spacing w:line="480" w:lineRule="auto"/>
        <w:contextualSpacing/>
        <w:rPr>
          <w:b/>
          <w:lang w:val="en-US"/>
        </w:rPr>
      </w:pPr>
    </w:p>
    <w:p w14:paraId="5C4674EA" w14:textId="77777777" w:rsidR="004455B6" w:rsidRDefault="004455B6" w:rsidP="0022455C">
      <w:pPr>
        <w:spacing w:line="480" w:lineRule="auto"/>
        <w:contextualSpacing/>
        <w:rPr>
          <w:b/>
          <w:lang w:val="en-US"/>
        </w:rPr>
      </w:pPr>
    </w:p>
    <w:p w14:paraId="5DEA76BF" w14:textId="77777777" w:rsidR="00E240C8" w:rsidRDefault="00E240C8" w:rsidP="0022455C">
      <w:pPr>
        <w:spacing w:line="480" w:lineRule="auto"/>
        <w:contextualSpacing/>
        <w:rPr>
          <w:b/>
          <w:lang w:val="en-US"/>
        </w:rPr>
      </w:pPr>
    </w:p>
    <w:p w14:paraId="1E90A69D" w14:textId="77777777" w:rsidR="004455B6" w:rsidRDefault="004455B6" w:rsidP="0022455C">
      <w:pPr>
        <w:spacing w:line="480" w:lineRule="auto"/>
        <w:contextualSpacing/>
        <w:rPr>
          <w:b/>
          <w:lang w:val="en-US"/>
        </w:rPr>
      </w:pPr>
    </w:p>
    <w:p w14:paraId="7EF9D93F" w14:textId="77777777" w:rsidR="004455B6" w:rsidRDefault="004455B6" w:rsidP="0022455C">
      <w:pPr>
        <w:spacing w:line="480" w:lineRule="auto"/>
        <w:contextualSpacing/>
        <w:rPr>
          <w:b/>
          <w:lang w:val="en-US"/>
        </w:rPr>
      </w:pPr>
    </w:p>
    <w:p w14:paraId="53D9A37C" w14:textId="77777777" w:rsidR="004455B6" w:rsidRDefault="004455B6" w:rsidP="0022455C">
      <w:pPr>
        <w:spacing w:line="480" w:lineRule="auto"/>
        <w:contextualSpacing/>
        <w:rPr>
          <w:b/>
          <w:lang w:val="en-US"/>
        </w:rPr>
      </w:pPr>
    </w:p>
    <w:p w14:paraId="42F746AD" w14:textId="77777777" w:rsidR="004455B6" w:rsidRDefault="004455B6" w:rsidP="0022455C">
      <w:pPr>
        <w:spacing w:line="480" w:lineRule="auto"/>
        <w:contextualSpacing/>
        <w:rPr>
          <w:b/>
          <w:lang w:val="en-US"/>
        </w:rPr>
      </w:pPr>
    </w:p>
    <w:p w14:paraId="169A73EE" w14:textId="77777777" w:rsidR="004455B6" w:rsidRDefault="004455B6" w:rsidP="0022455C">
      <w:pPr>
        <w:spacing w:line="480" w:lineRule="auto"/>
        <w:contextualSpacing/>
        <w:rPr>
          <w:b/>
          <w:lang w:val="en-US"/>
        </w:rPr>
      </w:pPr>
    </w:p>
    <w:p w14:paraId="4022D5AD" w14:textId="77777777" w:rsidR="004455B6" w:rsidRDefault="004455B6" w:rsidP="0022455C">
      <w:pPr>
        <w:spacing w:line="480" w:lineRule="auto"/>
        <w:contextualSpacing/>
        <w:rPr>
          <w:b/>
          <w:lang w:val="en-US"/>
        </w:rPr>
      </w:pPr>
    </w:p>
    <w:p w14:paraId="340261BA" w14:textId="77777777" w:rsidR="004455B6" w:rsidRDefault="004455B6" w:rsidP="0022455C">
      <w:pPr>
        <w:spacing w:line="480" w:lineRule="auto"/>
        <w:contextualSpacing/>
        <w:rPr>
          <w:b/>
          <w:lang w:val="en-US"/>
        </w:rPr>
      </w:pPr>
    </w:p>
    <w:p w14:paraId="79CD97D7" w14:textId="77777777" w:rsidR="004455B6" w:rsidRDefault="004455B6" w:rsidP="0022455C">
      <w:pPr>
        <w:spacing w:line="480" w:lineRule="auto"/>
        <w:contextualSpacing/>
        <w:rPr>
          <w:b/>
          <w:lang w:val="en-US"/>
        </w:rPr>
      </w:pPr>
    </w:p>
    <w:p w14:paraId="61F8BBC5" w14:textId="5A6BEF71" w:rsidR="00A8220D" w:rsidRPr="00416657" w:rsidRDefault="00A8220D" w:rsidP="0022455C">
      <w:pPr>
        <w:spacing w:line="480" w:lineRule="auto"/>
        <w:contextualSpacing/>
        <w:rPr>
          <w:b/>
          <w:lang w:val="en-US"/>
        </w:rPr>
      </w:pPr>
      <w:r w:rsidRPr="00416657">
        <w:rPr>
          <w:b/>
          <w:lang w:val="en-US"/>
        </w:rPr>
        <w:lastRenderedPageBreak/>
        <w:t>Abstract</w:t>
      </w:r>
    </w:p>
    <w:p w14:paraId="1E486244" w14:textId="1D7D0E62" w:rsidR="00A8220D" w:rsidRPr="00416657" w:rsidRDefault="00542E9A" w:rsidP="00A119E2">
      <w:pPr>
        <w:autoSpaceDE w:val="0"/>
        <w:autoSpaceDN w:val="0"/>
        <w:adjustRightInd w:val="0"/>
        <w:spacing w:line="480" w:lineRule="auto"/>
        <w:contextualSpacing/>
        <w:rPr>
          <w:rFonts w:cs="Arial"/>
          <w:szCs w:val="22"/>
          <w:lang w:val="en-US"/>
        </w:rPr>
      </w:pPr>
      <w:r w:rsidRPr="00416657">
        <w:rPr>
          <w:b/>
          <w:szCs w:val="22"/>
          <w:lang w:val="en-US"/>
        </w:rPr>
        <w:t>Background</w:t>
      </w:r>
      <w:r w:rsidR="00A8220D" w:rsidRPr="00416657">
        <w:rPr>
          <w:b/>
          <w:szCs w:val="22"/>
          <w:lang w:val="en-US"/>
        </w:rPr>
        <w:t>:</w:t>
      </w:r>
      <w:r w:rsidR="00A8220D" w:rsidRPr="00416657">
        <w:rPr>
          <w:szCs w:val="22"/>
          <w:lang w:val="en-US"/>
        </w:rPr>
        <w:t xml:space="preserve"> </w:t>
      </w:r>
      <w:r w:rsidR="00D76BBA" w:rsidRPr="00D76BBA">
        <w:rPr>
          <w:szCs w:val="22"/>
          <w:lang w:val="en-US"/>
        </w:rPr>
        <w:t xml:space="preserve">Co-use of benzodiazepines and opioids significantly increases fatal overdose risk, yet few studies have examined co-use of these drugs when obtained both licitly and illicitly. We examined associations of daily co-use of prescribed benzodiazepines/tranquilizers (BZD/TRQ) and </w:t>
      </w:r>
      <w:r w:rsidR="00075273">
        <w:rPr>
          <w:szCs w:val="22"/>
          <w:lang w:val="en-US"/>
        </w:rPr>
        <w:t xml:space="preserve">prescribed and </w:t>
      </w:r>
      <w:r w:rsidR="00D76BBA" w:rsidRPr="00D76BBA">
        <w:rPr>
          <w:szCs w:val="22"/>
          <w:lang w:val="en-US"/>
        </w:rPr>
        <w:t>non-prescribed opioids among people who</w:t>
      </w:r>
      <w:r w:rsidR="00A20FC3">
        <w:rPr>
          <w:szCs w:val="22"/>
          <w:lang w:val="en-US"/>
        </w:rPr>
        <w:t xml:space="preserve"> </w:t>
      </w:r>
      <w:r w:rsidR="00550593">
        <w:rPr>
          <w:szCs w:val="22"/>
          <w:lang w:val="en-US"/>
        </w:rPr>
        <w:t>reported using</w:t>
      </w:r>
      <w:r w:rsidR="00D76BBA" w:rsidRPr="00D76BBA">
        <w:rPr>
          <w:szCs w:val="22"/>
          <w:lang w:val="en-US"/>
        </w:rPr>
        <w:t xml:space="preserve"> </w:t>
      </w:r>
      <w:r w:rsidR="00A20FC3">
        <w:rPr>
          <w:szCs w:val="22"/>
          <w:lang w:val="en-US"/>
        </w:rPr>
        <w:t xml:space="preserve">street </w:t>
      </w:r>
      <w:r w:rsidR="00D76BBA" w:rsidRPr="00D76BBA">
        <w:rPr>
          <w:szCs w:val="22"/>
          <w:lang w:val="en-US"/>
        </w:rPr>
        <w:t>opioids</w:t>
      </w:r>
      <w:r w:rsidR="00A20FC3">
        <w:rPr>
          <w:szCs w:val="22"/>
          <w:lang w:val="en-US"/>
        </w:rPr>
        <w:t xml:space="preserve"> in the past month</w:t>
      </w:r>
      <w:r w:rsidR="00550593">
        <w:rPr>
          <w:szCs w:val="22"/>
          <w:lang w:val="en-US"/>
        </w:rPr>
        <w:t xml:space="preserve"> (PWUO)</w:t>
      </w:r>
      <w:r w:rsidR="00D76BBA" w:rsidRPr="00D76BBA">
        <w:rPr>
          <w:szCs w:val="22"/>
          <w:lang w:val="en-US"/>
        </w:rPr>
        <w:t>.</w:t>
      </w:r>
      <w:r w:rsidR="00A8220D" w:rsidRPr="00416657">
        <w:rPr>
          <w:rFonts w:cs="Arial"/>
          <w:szCs w:val="22"/>
          <w:lang w:val="en-US"/>
        </w:rPr>
        <w:t xml:space="preserve"> </w:t>
      </w:r>
    </w:p>
    <w:p w14:paraId="59EE7B2E" w14:textId="4312051B" w:rsidR="00A8220D" w:rsidRPr="00416657" w:rsidRDefault="00A8220D" w:rsidP="00A119E2">
      <w:pPr>
        <w:autoSpaceDE w:val="0"/>
        <w:autoSpaceDN w:val="0"/>
        <w:adjustRightInd w:val="0"/>
        <w:spacing w:line="480" w:lineRule="auto"/>
        <w:contextualSpacing/>
        <w:rPr>
          <w:rFonts w:cs="Arial"/>
          <w:szCs w:val="22"/>
          <w:lang w:val="en-US"/>
        </w:rPr>
      </w:pPr>
      <w:r w:rsidRPr="00416657">
        <w:rPr>
          <w:b/>
          <w:szCs w:val="22"/>
          <w:lang w:val="en-US"/>
        </w:rPr>
        <w:t>Methods:</w:t>
      </w:r>
      <w:r w:rsidRPr="00416657">
        <w:rPr>
          <w:rFonts w:cs="Arial"/>
          <w:i/>
          <w:iCs/>
          <w:szCs w:val="22"/>
          <w:lang w:val="en-US"/>
        </w:rPr>
        <w:t xml:space="preserve"> </w:t>
      </w:r>
      <w:r w:rsidR="00D76BBA" w:rsidRPr="00D76BBA">
        <w:rPr>
          <w:rFonts w:cs="Arial"/>
          <w:szCs w:val="22"/>
          <w:lang w:val="en-US"/>
        </w:rPr>
        <w:t>PWUO (N=417) were recruited from Baltimore City and neighboring Anne Arundel County, Maryland and surveyed on sociodemographic characteristics, structural vulnerabilities, healthcare access and utilization, substance use, and overdose experiences. Multivariable logistic regression was used to identify factors associated with self-reported co-use.</w:t>
      </w:r>
    </w:p>
    <w:p w14:paraId="2CF8818F" w14:textId="40AF4589" w:rsidR="00A8220D" w:rsidRPr="00416657" w:rsidRDefault="00A8220D" w:rsidP="00A119E2">
      <w:pPr>
        <w:autoSpaceDE w:val="0"/>
        <w:autoSpaceDN w:val="0"/>
        <w:adjustRightInd w:val="0"/>
        <w:spacing w:line="480" w:lineRule="auto"/>
        <w:contextualSpacing/>
        <w:rPr>
          <w:lang w:val="en-US"/>
        </w:rPr>
      </w:pPr>
      <w:r w:rsidRPr="00416657">
        <w:rPr>
          <w:b/>
          <w:szCs w:val="22"/>
          <w:lang w:val="en-US"/>
        </w:rPr>
        <w:t>Results</w:t>
      </w:r>
      <w:r w:rsidRPr="00416657">
        <w:rPr>
          <w:rFonts w:cs="Arial"/>
          <w:b/>
          <w:iCs/>
          <w:szCs w:val="22"/>
          <w:lang w:val="en-US"/>
        </w:rPr>
        <w:t>:</w:t>
      </w:r>
      <w:r w:rsidRPr="00416657">
        <w:rPr>
          <w:rFonts w:cs="Arial"/>
          <w:i/>
          <w:iCs/>
          <w:szCs w:val="22"/>
          <w:lang w:val="en-US"/>
        </w:rPr>
        <w:t xml:space="preserve"> </w:t>
      </w:r>
      <w:r w:rsidR="00D76BBA" w:rsidRPr="00D76BBA">
        <w:rPr>
          <w:rFonts w:cs="Arial"/>
          <w:szCs w:val="22"/>
          <w:lang w:val="en-US"/>
        </w:rPr>
        <w:t>Participants were 4</w:t>
      </w:r>
      <w:r w:rsidR="00917A4A">
        <w:rPr>
          <w:rFonts w:cs="Arial"/>
          <w:szCs w:val="22"/>
          <w:lang w:val="en-US"/>
        </w:rPr>
        <w:t>6</w:t>
      </w:r>
      <w:r w:rsidR="00D76BBA" w:rsidRPr="00D76BBA">
        <w:rPr>
          <w:rFonts w:cs="Arial"/>
          <w:szCs w:val="22"/>
          <w:lang w:val="en-US"/>
        </w:rPr>
        <w:t xml:space="preserve"> years old on average, predominantly male (62%), Black (74%), and unstably housed (64%). Daily co-use was reported by 22%. In multivariable analyses, odds of co-use were significantly higher among participants who did not have a high school degree/GED (aOR=1.72, CI 1.02, 2.89), endorsed receiving mental health treatment in the past 6 months (aOR=2.11, CI 1.27, 3.52), reported daily use of cocaine (aOR: 3.59, 95% CI: 1.98 – 6.49), and synthetic cannabinoids (aOR: 3.09, 95% CI: 1.39 – 6.90). Odds of co-use were significantly lower among Black participants compared to white participants (aOR: 0.38, 95% CI: 0.18 – 0.81).</w:t>
      </w:r>
    </w:p>
    <w:p w14:paraId="0E671A64" w14:textId="5A73BB11" w:rsidR="00A8220D" w:rsidRPr="00416657" w:rsidRDefault="00542E9A" w:rsidP="002150E9">
      <w:pPr>
        <w:autoSpaceDE w:val="0"/>
        <w:autoSpaceDN w:val="0"/>
        <w:adjustRightInd w:val="0"/>
        <w:spacing w:line="480" w:lineRule="auto"/>
        <w:contextualSpacing/>
        <w:rPr>
          <w:lang w:val="en-US"/>
        </w:rPr>
      </w:pPr>
      <w:r w:rsidRPr="00416657">
        <w:rPr>
          <w:b/>
          <w:szCs w:val="22"/>
          <w:lang w:val="en-US"/>
        </w:rPr>
        <w:t>Conclusions</w:t>
      </w:r>
      <w:r w:rsidR="00A8220D" w:rsidRPr="00416657">
        <w:rPr>
          <w:rFonts w:cs="Arial"/>
          <w:b/>
          <w:iCs/>
          <w:szCs w:val="22"/>
          <w:lang w:val="en-US"/>
        </w:rPr>
        <w:t>:</w:t>
      </w:r>
      <w:r w:rsidR="00A8220D" w:rsidRPr="00416657">
        <w:rPr>
          <w:rFonts w:cs="Arial"/>
          <w:i/>
          <w:iCs/>
          <w:szCs w:val="22"/>
          <w:lang w:val="en-US"/>
        </w:rPr>
        <w:t xml:space="preserve"> </w:t>
      </w:r>
      <w:r w:rsidR="00D76BBA" w:rsidRPr="00D76BBA">
        <w:rPr>
          <w:rFonts w:cs="Arial"/>
          <w:bCs/>
          <w:szCs w:val="22"/>
          <w:lang w:val="en-US"/>
        </w:rPr>
        <w:t xml:space="preserve">A diversity of factors was associated with co-use of </w:t>
      </w:r>
      <w:r w:rsidR="00D76BBA" w:rsidRPr="00D76BBA">
        <w:rPr>
          <w:rFonts w:cs="Arial"/>
          <w:szCs w:val="22"/>
          <w:lang w:val="en-US"/>
        </w:rPr>
        <w:t xml:space="preserve">BZD/TRQ and opioids among an urban and suburban sample of PWUO. Clinicians </w:t>
      </w:r>
      <w:r w:rsidR="00A20FC3">
        <w:rPr>
          <w:rFonts w:cs="Arial"/>
          <w:szCs w:val="22"/>
          <w:lang w:val="en-US"/>
        </w:rPr>
        <w:t>who work with PWUO</w:t>
      </w:r>
      <w:r w:rsidR="008D6389">
        <w:rPr>
          <w:rFonts w:cs="Arial"/>
          <w:szCs w:val="22"/>
          <w:lang w:val="en-US"/>
        </w:rPr>
        <w:t xml:space="preserve"> o</w:t>
      </w:r>
      <w:r w:rsidR="00A20FC3">
        <w:rPr>
          <w:rFonts w:cs="Arial"/>
          <w:szCs w:val="22"/>
          <w:lang w:val="en-US"/>
        </w:rPr>
        <w:t xml:space="preserve">r who </w:t>
      </w:r>
      <w:r w:rsidR="00D76BBA" w:rsidRPr="00D76BBA">
        <w:rPr>
          <w:rFonts w:cs="Arial"/>
          <w:szCs w:val="22"/>
          <w:lang w:val="en-US"/>
        </w:rPr>
        <w:t>prescrib</w:t>
      </w:r>
      <w:r w:rsidR="00A20FC3">
        <w:rPr>
          <w:rFonts w:cs="Arial"/>
          <w:szCs w:val="22"/>
          <w:lang w:val="en-US"/>
        </w:rPr>
        <w:t xml:space="preserve">e </w:t>
      </w:r>
      <w:r w:rsidR="00D76BBA" w:rsidRPr="00D76BBA">
        <w:rPr>
          <w:rFonts w:cs="Arial"/>
          <w:szCs w:val="22"/>
          <w:lang w:val="en-US"/>
        </w:rPr>
        <w:t>BZ</w:t>
      </w:r>
      <w:r w:rsidR="00A20FC3">
        <w:rPr>
          <w:rFonts w:cs="Arial"/>
          <w:szCs w:val="22"/>
          <w:lang w:val="en-US"/>
        </w:rPr>
        <w:t>Ds</w:t>
      </w:r>
      <w:r w:rsidR="00C92343">
        <w:rPr>
          <w:rFonts w:cs="Arial"/>
          <w:szCs w:val="22"/>
          <w:lang w:val="en-US"/>
        </w:rPr>
        <w:t xml:space="preserve"> or opioids</w:t>
      </w:r>
      <w:r w:rsidR="00A20FC3">
        <w:rPr>
          <w:rFonts w:cs="Arial"/>
          <w:szCs w:val="22"/>
          <w:lang w:val="en-US"/>
        </w:rPr>
        <w:t xml:space="preserve"> </w:t>
      </w:r>
      <w:r w:rsidR="00D76BBA" w:rsidRPr="00D76BBA">
        <w:rPr>
          <w:rFonts w:cs="Arial"/>
          <w:szCs w:val="22"/>
          <w:lang w:val="en-US"/>
        </w:rPr>
        <w:t xml:space="preserve">should </w:t>
      </w:r>
      <w:r w:rsidR="00706D0C">
        <w:rPr>
          <w:rFonts w:cs="Arial"/>
          <w:szCs w:val="22"/>
          <w:lang w:val="en-US"/>
        </w:rPr>
        <w:t>take special attention to</w:t>
      </w:r>
      <w:r w:rsidR="00D76BBA" w:rsidRPr="00D76BBA">
        <w:rPr>
          <w:rFonts w:cs="Arial"/>
          <w:szCs w:val="22"/>
          <w:lang w:val="en-US"/>
        </w:rPr>
        <w:t xml:space="preserve"> screen </w:t>
      </w:r>
      <w:r w:rsidR="00A20FC3">
        <w:rPr>
          <w:rFonts w:cs="Arial"/>
          <w:szCs w:val="22"/>
          <w:lang w:val="en-US"/>
        </w:rPr>
        <w:t xml:space="preserve">these </w:t>
      </w:r>
      <w:r w:rsidR="00D76BBA" w:rsidRPr="00D76BBA">
        <w:rPr>
          <w:rFonts w:cs="Arial"/>
          <w:szCs w:val="22"/>
          <w:lang w:val="en-US"/>
        </w:rPr>
        <w:t>patients for co-use</w:t>
      </w:r>
      <w:r w:rsidR="008D6389">
        <w:rPr>
          <w:rFonts w:cs="Arial"/>
          <w:szCs w:val="22"/>
          <w:lang w:val="en-US"/>
        </w:rPr>
        <w:t>, as t</w:t>
      </w:r>
      <w:r w:rsidR="008D6389" w:rsidRPr="00D76BBA">
        <w:rPr>
          <w:rFonts w:cs="Arial"/>
          <w:szCs w:val="22"/>
          <w:lang w:val="en-US"/>
        </w:rPr>
        <w:t>he clinical encounter provides a unique opportunity to engage these patients.</w:t>
      </w:r>
    </w:p>
    <w:p w14:paraId="6B27D323" w14:textId="77777777" w:rsidR="006A7586" w:rsidRDefault="006A7586" w:rsidP="00A119E2">
      <w:pPr>
        <w:spacing w:after="240" w:line="480" w:lineRule="auto"/>
        <w:contextualSpacing/>
        <w:rPr>
          <w:b/>
          <w:lang w:val="en-US"/>
        </w:rPr>
      </w:pPr>
    </w:p>
    <w:p w14:paraId="4DFC7C5B" w14:textId="29E949AE" w:rsidR="006A7586" w:rsidRPr="00416657" w:rsidRDefault="00542E9A" w:rsidP="00A119E2">
      <w:pPr>
        <w:spacing w:after="240" w:line="480" w:lineRule="auto"/>
        <w:contextualSpacing/>
        <w:rPr>
          <w:lang w:val="en-US"/>
        </w:rPr>
      </w:pPr>
      <w:r w:rsidRPr="00416657">
        <w:rPr>
          <w:b/>
          <w:lang w:val="en-US"/>
        </w:rPr>
        <w:t>Key words:</w:t>
      </w:r>
      <w:r w:rsidRPr="00416657">
        <w:rPr>
          <w:lang w:val="en-US"/>
        </w:rPr>
        <w:t xml:space="preserve"> </w:t>
      </w:r>
      <w:r w:rsidR="00D76BBA">
        <w:rPr>
          <w:lang w:val="en-US"/>
        </w:rPr>
        <w:t xml:space="preserve">co-use, </w:t>
      </w:r>
      <w:r w:rsidR="006D03AB">
        <w:rPr>
          <w:lang w:val="en-US"/>
        </w:rPr>
        <w:t xml:space="preserve">nonmedical use, </w:t>
      </w:r>
      <w:r w:rsidR="00D76BBA">
        <w:rPr>
          <w:lang w:val="en-US"/>
        </w:rPr>
        <w:t>benzodiazepines, opioids, overdose</w:t>
      </w:r>
      <w:r w:rsidR="00551A47">
        <w:rPr>
          <w:lang w:val="en-US"/>
        </w:rPr>
        <w:t xml:space="preserve">, mental health </w:t>
      </w:r>
    </w:p>
    <w:p w14:paraId="354AB48F" w14:textId="10309FDF" w:rsidR="00A8220D" w:rsidRPr="001A11FA" w:rsidRDefault="00A8220D" w:rsidP="001A11FA">
      <w:pPr>
        <w:pStyle w:val="ListParagraph"/>
        <w:numPr>
          <w:ilvl w:val="0"/>
          <w:numId w:val="6"/>
        </w:numPr>
        <w:spacing w:after="240" w:line="480" w:lineRule="auto"/>
        <w:rPr>
          <w:b/>
          <w:bCs/>
          <w:lang w:val="en-US"/>
        </w:rPr>
      </w:pPr>
      <w:r w:rsidRPr="001A11FA">
        <w:rPr>
          <w:b/>
          <w:bCs/>
          <w:lang w:val="en-US"/>
        </w:rPr>
        <w:lastRenderedPageBreak/>
        <w:t>Introduction</w:t>
      </w:r>
    </w:p>
    <w:p w14:paraId="082C9523" w14:textId="2AB9D889" w:rsidR="00D76BBA" w:rsidRPr="00D76BBA" w:rsidRDefault="00D76BBA" w:rsidP="00571A01">
      <w:pPr>
        <w:spacing w:before="0" w:line="480" w:lineRule="auto"/>
        <w:ind w:firstLine="720"/>
        <w:contextualSpacing/>
        <w:rPr>
          <w:lang w:val="en-US"/>
        </w:rPr>
      </w:pPr>
      <w:r w:rsidRPr="00D76BBA">
        <w:rPr>
          <w:lang w:val="en-US"/>
        </w:rPr>
        <w:t xml:space="preserve">Poisoning deaths are the leading cause of unintentional death in the United States, with the highest number of fatal overdoses ever recorded (100,306) occurring in the 12-month period ending in April 2021, constituting a 28.5% increase from the same period the year before </w:t>
      </w:r>
      <w:r w:rsidR="009E6357">
        <w:rPr>
          <w:lang w:val="en-US"/>
        </w:rPr>
        <w:fldChar w:fldCharType="begin"/>
      </w:r>
      <w:r w:rsidR="009E6357">
        <w:rPr>
          <w:lang w:val="en-US"/>
        </w:rPr>
        <w:instrText xml:space="preserve"> ADDIN ZOTERO_ITEM CSL_CITATION {"citationID":"kyFgWNq0","properties":{"formattedCitation":"(CDC, 2021)","plainCitation":"(CDC, 2021)","noteIndex":0},"citationItems":[{"id":133,"uris":["http://zotero.org/users/5293367/items/K68LQL6Z"],"itemData":{"id":133,"type":"webpage","abstract":"National Center for Health Statistics","language":"en-us","title":"Drug Overdose Deaths in the U.S. Up 30% in 2020","URL":"https://www.cdc.gov/nchs/pressroom/nchs_press_releases/2021/20210714.htm","author":[{"family":"Centers for Disease Control and Prevention","given":""}],"accessed":{"date-parts":[["2021",10,14]]},"issued":{"date-parts":[["2021",7,14]]}},"suppress-author":true,"prefix":"CDC,"}],"schema":"https://github.com/citation-style-language/schema/raw/master/csl-citation.json"} </w:instrText>
      </w:r>
      <w:r w:rsidR="009E6357">
        <w:rPr>
          <w:lang w:val="en-US"/>
        </w:rPr>
        <w:fldChar w:fldCharType="separate"/>
      </w:r>
      <w:r w:rsidR="009E6357">
        <w:rPr>
          <w:noProof/>
          <w:lang w:val="en-US"/>
        </w:rPr>
        <w:t>(CDC, 2021)</w:t>
      </w:r>
      <w:r w:rsidR="009E6357">
        <w:rPr>
          <w:lang w:val="en-US"/>
        </w:rPr>
        <w:fldChar w:fldCharType="end"/>
      </w:r>
      <w:r w:rsidRPr="00D76BBA">
        <w:rPr>
          <w:lang w:val="en-US"/>
        </w:rPr>
        <w:t xml:space="preserve">. Most of these fatalities involve opioids </w:t>
      </w:r>
      <w:r w:rsidR="009E6357">
        <w:rPr>
          <w:lang w:val="en-US"/>
        </w:rPr>
        <w:fldChar w:fldCharType="begin"/>
      </w:r>
      <w:r w:rsidR="009E6357">
        <w:rPr>
          <w:lang w:val="en-US"/>
        </w:rPr>
        <w:instrText xml:space="preserve"> ADDIN ZOTERO_ITEM CSL_CITATION {"citationID":"FyhUdSM3","properties":{"formattedCitation":"(Mattson, 2021)","plainCitation":"(Mattson, 2021)","noteIndex":0},"citationItems":[{"id":173,"uris":["http://zotero.org/users/5293367/items/NSBBHYYI"],"itemData":{"id":173,"type":"article-journal","abstract":"This report describes trends in drug and synthetic opioid overdose ...","container-title":"MMWR. Morbidity and Mortality Weekly Report","DOI":"10.15585/mmwr.mm7006a4","ISSN":"0149-21951545-861X","journalAbbreviation":"MMWR Morb Mortal Wkly Rep","language":"en-us","source":"www.cdc.gov","title":"Trends and Geographic Patterns in Drug and Synthetic Opioid Overdose Deaths — United States, 2013–2019","URL":"https://www.cdc.gov/mmwr/volumes/70/wr/mm7006a4.htm","volume":"70","author":[{"family":"Mattson","given":"Christine L."}],"accessed":{"date-parts":[["2022",2,12]]},"issued":{"date-parts":[["2021"]]}}}],"schema":"https://github.com/citation-style-language/schema/raw/master/csl-citation.json"} </w:instrText>
      </w:r>
      <w:r w:rsidR="009E6357">
        <w:rPr>
          <w:lang w:val="en-US"/>
        </w:rPr>
        <w:fldChar w:fldCharType="separate"/>
      </w:r>
      <w:r w:rsidR="009E6357">
        <w:rPr>
          <w:noProof/>
          <w:lang w:val="en-US"/>
        </w:rPr>
        <w:t>(Mattson, 2021)</w:t>
      </w:r>
      <w:r w:rsidR="009E6357">
        <w:rPr>
          <w:lang w:val="en-US"/>
        </w:rPr>
        <w:fldChar w:fldCharType="end"/>
      </w:r>
      <w:r w:rsidR="009E6357">
        <w:rPr>
          <w:lang w:val="en-US"/>
        </w:rPr>
        <w:t>,</w:t>
      </w:r>
      <w:r w:rsidRPr="00D76BBA">
        <w:rPr>
          <w:lang w:val="en-US"/>
        </w:rPr>
        <w:t xml:space="preserve"> and recent studies show mortality rates for opioid overdoses involving benzodiazepines (BZDs) increased ten-fold from 1999 to 2017 </w:t>
      </w:r>
      <w:r w:rsidR="008E7CDD">
        <w:rPr>
          <w:lang w:val="en-US"/>
        </w:rPr>
        <w:fldChar w:fldCharType="begin"/>
      </w:r>
      <w:r w:rsidR="008E7CDD">
        <w:rPr>
          <w:lang w:val="en-US"/>
        </w:rPr>
        <w:instrText xml:space="preserve"> ADDIN ZOTERO_ITEM CSL_CITATION {"citationID":"WddKUyXY","properties":{"formattedCitation":"(Tori et al., 2020)","plainCitation":"(Tori et al., 2020)","noteIndex":0},"citationItems":[{"id":171,"uris":["http://zotero.org/users/5293367/items/CHFWMJBY"],"itemData":{"id":171,"type":"article-journal","abstract":"The use of benzodiazepines or alcohol together with opioids increases overdose risk, but characterization of co-involvement by predominant opioid subtype is incomplete to date. Understanding the use of respiratory depressants in opioid overdose deaths (OODs) is important for prevention efforts and policy making.To assess the prevalence and number of alcohol- or benzodiazepine-involved OODs by opioid subtypes in the United States from 1999 to 2017.This repeated cross-sectional analysis used data from the Centers for Disease Control and Prevention Wide-Ranging Online Data for Epidemiologic Research (WONDER) database of all opioid-involved poisoning deaths from January 1, 1999, to December 31, 2017, for the United States. State-level binge drinking prevalence rates for 2015 to 2017 were obtained from the Behavior Risk Factor Surveillance System of the Centers for Disease Control and Prevention, and benzodiazepine prescribing rates for 2012 (most recent available data) were obtained from IMS Health, a commercial database. Data were analyzed from July 10, 2018, to May 16, 2019.Prevalence of alcohol or benzodiazepine co-involvement for all OODs and by opioid subtype, nationally and by state.From 1999 to 2017, 399 230 poisoning deaths involved opioids, of which 263 601 (66.0%) were male, and 204 560 (51.2%) were aged 35 to 54 years. Alcohol co-involvement for all opioid overdose deaths increased nonlinearly from 12.4% in 1999 to 14.7% in 2017. By opioid subtype, deaths involving heroin and synthetic opioids (eg, fentanyl; excluding methadone) had the highest alcohol co-involvement at 15.5% and 14.9%, respectively, in 2017. Benzodiazepine co-involvement in all OODs increased nonlinearly from 8.7% in 1999 to 21.0% in 2017. Benzodiazepines were present in 33.1% of prescription OODs and 17.1% of synthetic OODs in 2017. State-level rates of binge drinking were significantly correlated with alcohol co-involvement in all OODs (r = 0.34; P = .02). State benzodiazepine prescribing rates were significantly correlated with benzodiazepine co-involvement in all OODs (r = 0.57; P &amp;lt; .001).This study found that alcohol and benzodiazepine co-involvement in opioid-involved overdose deaths was common, varied by opioid subtype, and was associated with state-level binge drinking and benzodiazepine prescribing rates. These results may inform state policy initiatives in harm reduction and overdose prevention efforts.","container-title":"JAMA Network Open","DOI":"10.1001/jamanetworkopen.2020.2361","ISSN":"2574-3805","issue":"4","journalAbbreviation":"JAMA Network Open","page":"e202361","source":"Silverchair","title":"Alcohol or Benzodiazepine Co-involvement With Opioid Overdose Deaths in the United States, 1999-2017","volume":"3","author":[{"family":"Tori","given":"Marco E."},{"family":"Larochelle","given":"Marc R."},{"family":"Naimi","given":"Timothy S."}],"issued":{"date-parts":[["2020",4,9]]}}}],"schema":"https://github.com/citation-style-language/schema/raw/master/csl-citation.json"} </w:instrText>
      </w:r>
      <w:r w:rsidR="008E7CDD">
        <w:rPr>
          <w:lang w:val="en-US"/>
        </w:rPr>
        <w:fldChar w:fldCharType="separate"/>
      </w:r>
      <w:r w:rsidR="008E7CDD">
        <w:rPr>
          <w:noProof/>
          <w:lang w:val="en-US"/>
        </w:rPr>
        <w:t>(Tori et al., 2020)</w:t>
      </w:r>
      <w:r w:rsidR="008E7CDD">
        <w:rPr>
          <w:lang w:val="en-US"/>
        </w:rPr>
        <w:fldChar w:fldCharType="end"/>
      </w:r>
      <w:r w:rsidR="008E7CDD">
        <w:rPr>
          <w:lang w:val="en-US"/>
        </w:rPr>
        <w:t>.</w:t>
      </w:r>
      <w:r w:rsidRPr="00D76BBA">
        <w:rPr>
          <w:lang w:val="en-US"/>
        </w:rPr>
        <w:t xml:space="preserve"> Tranquilizers (TRQ) are a </w:t>
      </w:r>
      <w:r w:rsidR="007359A7">
        <w:rPr>
          <w:lang w:val="en-US"/>
        </w:rPr>
        <w:t>historic</w:t>
      </w:r>
      <w:r w:rsidRPr="00D76BBA">
        <w:rPr>
          <w:lang w:val="en-US"/>
        </w:rPr>
        <w:t xml:space="preserve"> drug </w:t>
      </w:r>
      <w:r w:rsidR="006A7586">
        <w:rPr>
          <w:lang w:val="en-US"/>
        </w:rPr>
        <w:t>class</w:t>
      </w:r>
      <w:r w:rsidRPr="00D76BBA">
        <w:rPr>
          <w:lang w:val="en-US"/>
        </w:rPr>
        <w:t xml:space="preserve"> encompass</w:t>
      </w:r>
      <w:r w:rsidR="006A7586">
        <w:rPr>
          <w:lang w:val="en-US"/>
        </w:rPr>
        <w:t>ing</w:t>
      </w:r>
      <w:r w:rsidRPr="00D76BBA">
        <w:rPr>
          <w:lang w:val="en-US"/>
        </w:rPr>
        <w:t xml:space="preserve"> </w:t>
      </w:r>
      <w:r w:rsidR="006A7586">
        <w:rPr>
          <w:lang w:val="en-US"/>
        </w:rPr>
        <w:t xml:space="preserve">both </w:t>
      </w:r>
      <w:r w:rsidR="00B67987">
        <w:rPr>
          <w:lang w:val="en-US"/>
        </w:rPr>
        <w:t>“minor tranquilizers” (</w:t>
      </w:r>
      <w:r w:rsidR="006A7586">
        <w:rPr>
          <w:lang w:val="en-US"/>
        </w:rPr>
        <w:t xml:space="preserve">benzodiazepines </w:t>
      </w:r>
      <w:r w:rsidR="006A7586" w:rsidRPr="00D76BBA">
        <w:rPr>
          <w:lang w:val="en-US"/>
        </w:rPr>
        <w:t>such as clonazepam</w:t>
      </w:r>
      <w:r w:rsidR="00B67987">
        <w:rPr>
          <w:lang w:val="en-US"/>
        </w:rPr>
        <w:t xml:space="preserve">) </w:t>
      </w:r>
      <w:r w:rsidR="006A7586">
        <w:rPr>
          <w:lang w:val="en-US"/>
        </w:rPr>
        <w:t>a</w:t>
      </w:r>
      <w:r w:rsidR="007359A7">
        <w:rPr>
          <w:lang w:val="en-US"/>
        </w:rPr>
        <w:t xml:space="preserve">nd </w:t>
      </w:r>
      <w:r w:rsidR="00B67987">
        <w:rPr>
          <w:lang w:val="en-US"/>
        </w:rPr>
        <w:t>“major tranquilizers” (</w:t>
      </w:r>
      <w:r w:rsidRPr="00D76BBA">
        <w:rPr>
          <w:lang w:val="en-US"/>
        </w:rPr>
        <w:t>antipsychotic medications such as haloperidol</w:t>
      </w:r>
      <w:r w:rsidR="00B67987">
        <w:rPr>
          <w:lang w:val="en-US"/>
        </w:rPr>
        <w:t>)</w:t>
      </w:r>
      <w:r w:rsidRPr="00D76BBA">
        <w:rPr>
          <w:lang w:val="en-US"/>
        </w:rPr>
        <w:t xml:space="preserve"> </w:t>
      </w:r>
      <w:r w:rsidR="008E7CDD">
        <w:rPr>
          <w:lang w:val="en-US"/>
        </w:rPr>
        <w:fldChar w:fldCharType="begin"/>
      </w:r>
      <w:r w:rsidR="008E7CDD">
        <w:rPr>
          <w:lang w:val="en-US"/>
        </w:rPr>
        <w:instrText xml:space="preserve"> ADDIN ZOTERO_ITEM CSL_CITATION {"citationID":"GwVnSbFP","properties":{"formattedCitation":"(Carpenter and Davis, 2012)","plainCitation":"(Carpenter and Davis, 2012)","noteIndex":0},"citationItems":[{"id":175,"uris":["http://zotero.org/users/5293367/items/ZWD2R7EV"],"itemData":{"id":175,"type":"article-journal","abstract":"Chlorpromazine initiated effective pharmacotherapy for schizophrenia 60 years ago. This discovery initiated or stimulated key developments in the field of psychiatry. Nonetheless, advances in pharmacotherapy of schizophrenia have been modest. Psychosis remains the primary aspect of psychopathology addressed, and core pathologies such as cognition and negative symptom remain unmet therapeutic challenges. New clinical and basic neuroscience paradigms may guide the near future and provide a more heuristic construct for novel and innovative discovery.","container-title":"Molecular Psychiatry","DOI":"10.1038/mp.2012.121","ISSN":"1476-5578","issue":"12","journalAbbreviation":"Mol Psychiatry","language":"eng","note":"PMID: 22889923","page":"1168-1173","source":"PubMed","title":"Another view of the history of antipsychotic drug discovery and development","volume":"17","author":[{"family":"Carpenter","given":"W. T."},{"family":"Davis","given":"J. M."}],"issued":{"date-parts":[["2012",12]]}}}],"schema":"https://github.com/citation-style-language/schema/raw/master/csl-citation.json"} </w:instrText>
      </w:r>
      <w:r w:rsidR="008E7CDD">
        <w:rPr>
          <w:lang w:val="en-US"/>
        </w:rPr>
        <w:fldChar w:fldCharType="separate"/>
      </w:r>
      <w:r w:rsidR="008E7CDD">
        <w:rPr>
          <w:noProof/>
          <w:lang w:val="en-US"/>
        </w:rPr>
        <w:t>(Carpenter and Davis, 2012)</w:t>
      </w:r>
      <w:r w:rsidR="008E7CDD">
        <w:rPr>
          <w:lang w:val="en-US"/>
        </w:rPr>
        <w:fldChar w:fldCharType="end"/>
      </w:r>
      <w:r w:rsidR="00B67987">
        <w:rPr>
          <w:lang w:val="en-US"/>
        </w:rPr>
        <w:t xml:space="preserve">, but </w:t>
      </w:r>
      <w:r w:rsidR="00375D83">
        <w:rPr>
          <w:lang w:val="en-US"/>
        </w:rPr>
        <w:t xml:space="preserve">are </w:t>
      </w:r>
      <w:r w:rsidR="00C706B7">
        <w:rPr>
          <w:lang w:val="en-US"/>
        </w:rPr>
        <w:t>colloquially</w:t>
      </w:r>
      <w:r w:rsidR="00375D83">
        <w:rPr>
          <w:lang w:val="en-US"/>
        </w:rPr>
        <w:t xml:space="preserve"> understood to </w:t>
      </w:r>
      <w:r w:rsidR="00B67987">
        <w:rPr>
          <w:lang w:val="en-US"/>
        </w:rPr>
        <w:t>refer primarily to</w:t>
      </w:r>
      <w:r w:rsidR="00375D83">
        <w:rPr>
          <w:lang w:val="en-US"/>
        </w:rPr>
        <w:t xml:space="preserve"> </w:t>
      </w:r>
      <w:r w:rsidR="007359A7">
        <w:rPr>
          <w:lang w:val="en-US"/>
        </w:rPr>
        <w:t>anxiolytic</w:t>
      </w:r>
      <w:r w:rsidRPr="00D76BBA">
        <w:rPr>
          <w:lang w:val="en-US"/>
        </w:rPr>
        <w:t xml:space="preserve"> medications</w:t>
      </w:r>
      <w:r w:rsidR="000208EE">
        <w:rPr>
          <w:lang w:val="en-US"/>
        </w:rPr>
        <w:t xml:space="preserve"> </w:t>
      </w:r>
      <w:r w:rsidR="002216FB">
        <w:rPr>
          <w:lang w:val="en-US"/>
        </w:rPr>
        <w:t>such as</w:t>
      </w:r>
      <w:r w:rsidR="000208EE">
        <w:rPr>
          <w:lang w:val="en-US"/>
        </w:rPr>
        <w:t xml:space="preserve"> </w:t>
      </w:r>
      <w:r w:rsidR="007359A7">
        <w:rPr>
          <w:lang w:val="en-US"/>
        </w:rPr>
        <w:t xml:space="preserve">BZDs </w:t>
      </w:r>
      <w:r w:rsidR="008E7CDD">
        <w:rPr>
          <w:lang w:val="en-US"/>
        </w:rPr>
        <w:fldChar w:fldCharType="begin"/>
      </w:r>
      <w:r w:rsidR="008E7CDD">
        <w:rPr>
          <w:lang w:val="en-US"/>
        </w:rPr>
        <w:instrText xml:space="preserve"> ADDIN ZOTERO_ITEM CSL_CITATION {"citationID":"ba57YPpZ","properties":{"formattedCitation":"(Schmidt et al., 2016)","plainCitation":"(Schmidt et al., 2016)","noteIndex":0},"citationItems":[{"id":155,"uris":["http://zotero.org/users/5293367/items/7ZR7BZMR"],"itemData":{"id":155,"type":"article-journal","abstract":"Background\nAnecdotal evidence suggests that men who have sex with men (MSM) are increasingly combining sex and illicit drugs (an activity referred to as ‘chemsex’), in particular GHB/GBL, ketamine, crystal meth, or mephedrone (here called 4-chems). Use of such drugs has been associated with mental health and sexual health harms. We aim to compare patterns of illicit drug use among MSM in 44 European urban centres.\nMethods\nIn 2010, EMIS recruited 174,209 men from 38 countries to an anonymous online questionnaire in 25 languages. As harm reduction services for drugs and sex are organised at a local level, we chose to compare cities rather than countries. We defined 44 cities based on region/postal code and settlement size. For multivariable regression analyses, three comparison groups of MSM not living in these cities were applied: MSM living in Germany, the UK, and elsewhere in Europe.\nResults\nData from 55,446 MSM living in 44 urban centres were included. Use of 4-chems (past 4 weeks) was highest in Brighton (16.3%), Manchester (15.5%), London (13.2%), Amsterdam (11.2%), Barcelona (7.9%), Zurich (7.0%) and Berlin (5.3%). It was lowest in Sofia (0.4%). The rank order was largely consistent when controlling for age, HIV diagnosis, and number of sexual partners. City of residence was the strongest demographic predictor of chemsex-drug use.\nConclusion\nUse of drugs associated with chemsex among MSM varies substantially across European cities. As city is the strongest predictor of chemsex-drug use, effective harm reduction programmes must include structural as well as individual interventions.","container-title":"International Journal of Drug Policy","DOI":"10.1016/j.drugpo.2016.09.007","ISSN":"0955-3959","journalAbbreviation":"International Journal of Drug Policy","language":"en","page":"4-12","source":"ScienceDirect","title":"Illicit drug use among gay and bisexual men in 44 cities: Findings from the European MSM Internet Survey (EMIS)","title-short":"Illicit drug use among gay and bisexual men in 44 cities","volume":"38","author":[{"family":"Schmidt","given":"Axel J."},{"family":"Bourne","given":"Adam"},{"family":"Weatherburn","given":"Peter"},{"family":"Reid","given":"David"},{"family":"Marcus","given":"Ulrich"},{"family":"Hickson","given":"Ford"}],"issued":{"date-parts":[["2016",12,1]]}}}],"schema":"https://github.com/citation-style-language/schema/raw/master/csl-citation.json"} </w:instrText>
      </w:r>
      <w:r w:rsidR="008E7CDD">
        <w:rPr>
          <w:lang w:val="en-US"/>
        </w:rPr>
        <w:fldChar w:fldCharType="separate"/>
      </w:r>
      <w:r w:rsidR="008E7CDD">
        <w:rPr>
          <w:noProof/>
          <w:lang w:val="en-US"/>
        </w:rPr>
        <w:t>(Schmidt et al., 2016)</w:t>
      </w:r>
      <w:r w:rsidR="008E7CDD">
        <w:rPr>
          <w:lang w:val="en-US"/>
        </w:rPr>
        <w:fldChar w:fldCharType="end"/>
      </w:r>
      <w:r w:rsidR="00375D83">
        <w:rPr>
          <w:lang w:val="en-US"/>
        </w:rPr>
        <w:t>,</w:t>
      </w:r>
      <w:r w:rsidR="002216FB">
        <w:rPr>
          <w:lang w:val="en-US"/>
        </w:rPr>
        <w:t xml:space="preserve"> which </w:t>
      </w:r>
      <w:r w:rsidR="007359A7">
        <w:rPr>
          <w:lang w:val="en-US"/>
        </w:rPr>
        <w:t xml:space="preserve">function by </w:t>
      </w:r>
      <w:r w:rsidR="00B67987">
        <w:rPr>
          <w:lang w:val="en-US"/>
        </w:rPr>
        <w:t>depress</w:t>
      </w:r>
      <w:r w:rsidR="007359A7">
        <w:rPr>
          <w:lang w:val="en-US"/>
        </w:rPr>
        <w:t>ing</w:t>
      </w:r>
      <w:r w:rsidR="00B67987">
        <w:rPr>
          <w:lang w:val="en-US"/>
        </w:rPr>
        <w:t xml:space="preserve"> the</w:t>
      </w:r>
      <w:r w:rsidR="00C47DA8">
        <w:rPr>
          <w:lang w:val="en-US"/>
        </w:rPr>
        <w:t xml:space="preserve"> </w:t>
      </w:r>
      <w:r w:rsidR="00375D83">
        <w:rPr>
          <w:lang w:val="en-US"/>
        </w:rPr>
        <w:t>central nervous system</w:t>
      </w:r>
      <w:r w:rsidR="008E7CDD">
        <w:rPr>
          <w:lang w:val="en-US"/>
        </w:rPr>
        <w:t>.</w:t>
      </w:r>
      <w:r w:rsidRPr="00D76BBA">
        <w:rPr>
          <w:lang w:val="en-US"/>
        </w:rPr>
        <w:t xml:space="preserve"> </w:t>
      </w:r>
    </w:p>
    <w:p w14:paraId="19145827" w14:textId="1D820F53" w:rsidR="00D76BBA" w:rsidRPr="00D76BBA" w:rsidRDefault="00D76BBA" w:rsidP="007359A7">
      <w:pPr>
        <w:spacing w:before="0" w:line="480" w:lineRule="auto"/>
        <w:ind w:firstLine="720"/>
        <w:contextualSpacing/>
        <w:rPr>
          <w:lang w:val="en-US"/>
        </w:rPr>
      </w:pPr>
      <w:r w:rsidRPr="00D76BBA">
        <w:rPr>
          <w:lang w:val="en-US"/>
        </w:rPr>
        <w:t xml:space="preserve">BZDs are often used nonmedically in conjunction with other drugs (SAMHSA, 2011), sometimes to potentiate or prolong drug effects </w:t>
      </w:r>
      <w:r w:rsidR="009E5207">
        <w:rPr>
          <w:lang w:val="en-US"/>
        </w:rPr>
        <w:fldChar w:fldCharType="begin"/>
      </w:r>
      <w:r w:rsidR="009E5207">
        <w:rPr>
          <w:lang w:val="en-US"/>
        </w:rPr>
        <w:instrText xml:space="preserve"> ADDIN ZOTERO_ITEM CSL_CITATION {"citationID":"RZ7O2M1m","properties":{"formattedCitation":"(Chen et al., 2011; Jones et al., 2012)","plainCitation":"(Chen et al., 2011; Jones et al., 2012)","noteIndex":0},"citationItems":[{"id":210,"uris":["http://zotero.org/users/5293367/items/Q2BNXRU8"],"itemData":{"id":210,"type":"article-journal","abstract":"BACKGROUND: Benzodiazepines (BZD) misuse is a serious public health problem, especially among opiate-dependent patients with anxiety enrolled in methadone program because it puts patients at higher risk of life-threatening multiple drug overdoses. Both elevated anxiety and BZD misuse increase the risk for ex-addicts to relapse. However, there is no recent study to assess how serious the problem is and what factors are associated with BZD misuse. This study estimates the prevalence of BZD misuse in a methadone program, and provides information on the characteristics of BZD users compared to non-users.\nMETHODS: An anonymous survey was carried out at a methadone program in Baltimore, MD, and all patients were invited to participate through group meetings and fliers around the clinic on a voluntary basis. Of the 205 returned questionnaires, 194 were complete and entered into final data analysis. Those who completed the questionnaire were offered a $5 gift card as an appreciation.\nRESULTS: 47% of the respondents had a history of BZD use, and 39.8% used BZD without a prescription. Half of the BZD users (54%) started using BZD after entering the methadone program, and 61% of previous BZD users reported increased or resumed use after entering methadone program. Compared to the non-users, BZD users were more likely to be White, have prescribed medication for mental problems, have preexistent anxiety problems before opiate use, and had anxiety problems before entering methadone program. They reported more mental health problems in the past month, and had higher scores in anxiety state, depression and perceived stress (p &lt; .05).\nCONCLUSIONS: Important information on epidemiology of BZD misuse among methadone-maintenance patients suggests that most methadone programs do not address co-occurring anxiety problems, and methadone treatment may trigger onset or worsening of BZD misuse. Further study is needed to explore how to curb misuse and abuse of BZD in the addiction population, and provide effective treatments targeting simultaneously addiction symptoms, anxiety disorders and BZD misuse.","container-title":"BMC psychiatry","DOI":"10.1186/1471-244X-11-90","ISSN":"1471-244X","journalAbbreviation":"BMC Psychiatry","language":"eng","note":"PMID: 21595945\nPMCID: PMC3117775","page":"90","source":"PubMed","title":"Benzodiazepine use and misuse among patients in a methadone program","volume":"11","author":[{"family":"Chen","given":"Kevin W."},{"family":"Berger","given":"Christine C."},{"family":"Forde","given":"Darlene P."},{"family":"D'Adamo","given":"Christopher"},{"family":"Weintraub","given":"Eric"},{"family":"Gandhi","given":"Devang"}],"issued":{"date-parts":[["2011",5,19]]}}},{"id":3,"uris":["http://zotero.org/users/5293367/items/NNK5F8HB"],"itemData":{"id":3,"type":"article-journal","abstract":"This paper reviews studies examining the pharmacological interactions and epidemiology of the combined use of opioids and benzodiazepines (BZDs). A search of English language publications from 1970 to 2012 was conducted using PubMed and PsycINFO®. Our search found approximately 200 articles appropriate for inclusion in this paper. While numerous reports indicate that the co-abuse of opioids and BZDs is ubiquitous around the world, the reasons for the co-abuse of these medications are not entirely clear. Though the possibility remains that opioid abusers are using BZDs therapeutically to self-medicate anxiety, mania or insomnia, the data reviewed in this paper suggest that BZD use is primarily recreational. For example, co-users report seeking BZD prescriptions for the purpose of enhancing opioid intoxication or “high,” and use doses that exceed the therapeutic range. Since there are few clinical studies investigating the pharmacological interaction and abuse liability of their combined use, this hypothesis has not been extensively evaluated in clinical settings. As such, our analysis encourages further systematic investigation of BZD abuse among opioid abusers. The co-abuse of BZDs and opioids is substantial and has negative consequences for general health, overdose lethality, and treatment outcome. Physicians should address this important and underappreciated problem with more cautious prescribing practices, and increased vigilance for abusive patterns of use.","container-title":"Drug and Alcohol Dependence","DOI":"10.1016/j.drugalcdep.2012.07.004","ISSN":"0376-8716","issue":"1-2","journalAbbreviation":"Drug and Alcohol Dependence","note":"publisher: Elsevier Ireland Ltd","page":"8-18","source":"EBSCOhost","title":"Polydrug abuse: A review of opioid and benzodiazepine combination use","title-short":"Polydrug abuse","volume":"125","author":[{"family":"Jones","given":"Jermaine D."},{"family":"Mogali","given":"Shanthi"},{"family":"Comer","given":"Sandra D."}],"issued":{"date-parts":[["2012",9,1]]}}}],"schema":"https://github.com/citation-style-language/schema/raw/master/csl-citation.json"} </w:instrText>
      </w:r>
      <w:r w:rsidR="009E5207">
        <w:rPr>
          <w:lang w:val="en-US"/>
        </w:rPr>
        <w:fldChar w:fldCharType="separate"/>
      </w:r>
      <w:r w:rsidR="009E5207">
        <w:rPr>
          <w:noProof/>
          <w:lang w:val="en-US"/>
        </w:rPr>
        <w:t>(Chen et al., 2011</w:t>
      </w:r>
      <w:r w:rsidR="00077250">
        <w:rPr>
          <w:noProof/>
          <w:lang w:val="en-US"/>
        </w:rPr>
        <w:t>)</w:t>
      </w:r>
      <w:r w:rsidR="009E5207">
        <w:rPr>
          <w:lang w:val="en-US"/>
        </w:rPr>
        <w:fldChar w:fldCharType="end"/>
      </w:r>
      <w:r w:rsidR="009E5207">
        <w:rPr>
          <w:lang w:val="en-US"/>
        </w:rPr>
        <w:t>,</w:t>
      </w:r>
      <w:r w:rsidRPr="00D76BBA">
        <w:rPr>
          <w:lang w:val="en-US"/>
        </w:rPr>
        <w:t xml:space="preserve"> and sometimes to mitigate withdrawal symptoms </w:t>
      </w:r>
      <w:r w:rsidR="00F11A00">
        <w:rPr>
          <w:lang w:val="en-US"/>
        </w:rPr>
        <w:fldChar w:fldCharType="begin"/>
      </w:r>
      <w:r w:rsidR="00F11A00">
        <w:rPr>
          <w:lang w:val="en-US"/>
        </w:rPr>
        <w:instrText xml:space="preserve"> ADDIN ZOTERO_ITEM CSL_CITATION {"citationID":"UMPvaDDY","properties":{"formattedCitation":"(Lankenau et al., 2012)","plainCitation":"(Lankenau et al., 2012)","noteIndex":0},"citationItems":[{"id":178,"uris":["http://zotero.org/users/5293367/items/XYYF7YMB"],"itemData":{"id":178,"type":"article-journal","abstract":"Misuse of prescription drugs and injection drug use has increased among young adults in the USA. Despite these upward trends, few studies have examined prescription drug misuse among young injection drug users (IDUs). A qualitative study was undertaken to describe current patterns of prescription drug misuse among young IDUs. Young IDUs aged 16–25 years who had misused a prescription drug, e.g., opioids, tranquilizers, or stimulants, at least three times in the past 3 months were recruited in 2008 and 2009 in Los Angeles (n = 25) and New York (n = 25). Informed by an ethno-epidemiological approach, descriptive data from a semi-structured interview guide were analyzed both quantitatively and qualitatively. Most IDUs sampled were both homeless and transient. Heroin, prescription opioids, and prescription tranquilizers were frequently misused in the past 30 days. Qualitative results indicated that young IDUs used prescription opioids and tranquilizers: as substitutes for heroin when it was unavailable; to boost a heroin high; to self-medicate for health conditions, including untreated pain and heroin withdrawal; to curb heroin use; and to reduce risks associated with injecting heroin. Polydrug use involving heroin and prescription drugs resulted in an overdose in multiple cases. Findings point to contrasting availability of heroin in North American cities while indicating broad availability of prescription opioids among street-based drug users. The results highlight a variety of unmet service needs among this sample of young IDUs, such as overdose prevention, drug treatment programs, primary care clinics, and mental health services.","container-title":"Journal of Urban Health : Bulletin of the New York Academy of Medicine","DOI":"10.1007/s11524-012-9691-9","ISSN":"1099-3460","issue":"6","journalAbbreviation":"J Urban Health","note":"PMID: 22684424\nPMCID: PMC3531346","page":"1004-1016","source":"PubMed Central","title":"Patterns of Prescription Drug Misuse among Young Injection Drug Users","volume":"89","author":[{"family":"Lankenau","given":"Stephen E."},{"family":"Teti","given":"Michelle"},{"family":"Silva","given":"Karol"},{"family":"Bloom","given":"Jennifer Jackson"},{"family":"Harocopos","given":"Alex"},{"family":"Treese","given":"Meghan"}],"issued":{"date-parts":[["2012",12]]}}}],"schema":"https://github.com/citation-style-language/schema/raw/master/csl-citation.json"} </w:instrText>
      </w:r>
      <w:r w:rsidR="00F11A00">
        <w:rPr>
          <w:lang w:val="en-US"/>
        </w:rPr>
        <w:fldChar w:fldCharType="separate"/>
      </w:r>
      <w:r w:rsidR="00F11A00">
        <w:rPr>
          <w:noProof/>
          <w:lang w:val="en-US"/>
        </w:rPr>
        <w:t>(Lankenau et al., 2012)</w:t>
      </w:r>
      <w:r w:rsidR="00F11A00">
        <w:rPr>
          <w:lang w:val="en-US"/>
        </w:rPr>
        <w:fldChar w:fldCharType="end"/>
      </w:r>
      <w:r w:rsidRPr="00D76BBA">
        <w:rPr>
          <w:lang w:val="en-US"/>
        </w:rPr>
        <w:t xml:space="preserve">. The interacting pharmacokinetics between BZDs and opioids are well established: co-use of the two substances together significantly increases risk of fatal overdose due respiratory drive suppression and increased sedation, increasing the risk for hypoxic respiratory failure </w:t>
      </w:r>
      <w:r w:rsidR="00F11A00">
        <w:rPr>
          <w:lang w:val="en-US"/>
        </w:rPr>
        <w:fldChar w:fldCharType="begin"/>
      </w:r>
      <w:r w:rsidR="00F11A00">
        <w:rPr>
          <w:lang w:val="en-US"/>
        </w:rPr>
        <w:instrText xml:space="preserve"> ADDIN ZOTERO_ITEM CSL_CITATION {"citationID":"zNBUr6F1","properties":{"formattedCitation":"(White and Irvine, 1999)","plainCitation":"(White and Irvine, 1999)","noteIndex":0},"citationItems":[{"id":180,"uris":["http://zotero.org/users/5293367/items/FM9HELGS"],"itemData":{"id":180,"type":"article-journal","abstract":"There has been increasing recognition of the problem of fatal opioid overdose. This review examines the pharmacological basis of respiratory depression following opioid administration. Respiration is controlled principally through medullary respiratory centres with peripheral input from chemoreceptors and other sources. Opioids produce inhibition at the chemoreceptors via mu opioid receptors and in the medulla via mu and delta receptors. While there are a number of neurotransmitters mediating the control of respiration, glutamate and GABA are the major excitatory and inhibitory neurotransmitters, respectively. This explains the potential for interaction of opioids with benzodiazepines and alcohol: both benzodiazepines and alcohol facilitate the inhibitory effect of GABA at the GABA receptor, while alcohol also decreases the excitatory effect of A glutamate at NMDA receptors. Heroin and methadone are the major opioids implicated in fatal overdose. Heroin has three metabolites with opioid activity. Variation in the formation of these metabolites due to genetic factors and the use of other drugs could explain differential sensitivity to overdose. Metabolites of methadone contribute little to its action. However, variation in rate of metabolism due to genetic factors and other drugs used can modify methadone concentration and hence overdose risk. The degree of tolerance also determines risk. Tolerance to respiratory depression is less than complete, and may be slower than tolerance to euphoric and other effects. One consequence of this may be a relatively high risk of overdose among experienced opioid users. While agonist administration modifies receptor function, changes (usually in the opposite direction) also result from use of antagonists. The potential for supersensitivity to opioids following a period of administration of antagonists such as naltrexone warrants further investigation. While our understanding of the pharmacological basis of opioid-related respiratory depression has advanced, better understanding of the role of heroin metabolites, the metabolism of methadone, drug interactions and tolerance would all be of considerable value in knowing how best to respond to this problem.","container-title":"Addiction","DOI":"10.1046/j.1360-0443.1999.9479612.x","ISSN":"1360-0443","issue":"7","language":"en","note":"_eprint: https://onlinelibrary.wiley.com/doi/pdf/10.1046/j.1360-0443.1999.9479612.x","page":"961-972","source":"Wiley Online Library","title":"Mechanisms of fatal opioid overdose","volume":"94","author":[{"family":"White","given":"Jason M."},{"family":"Irvine","given":"Rodney J."}],"issued":{"date-parts":[["1999"]]}}}],"schema":"https://github.com/citation-style-language/schema/raw/master/csl-citation.json"} </w:instrText>
      </w:r>
      <w:r w:rsidR="00F11A00">
        <w:rPr>
          <w:lang w:val="en-US"/>
        </w:rPr>
        <w:fldChar w:fldCharType="separate"/>
      </w:r>
      <w:r w:rsidR="00F11A00">
        <w:rPr>
          <w:noProof/>
          <w:lang w:val="en-US"/>
        </w:rPr>
        <w:t>(White and Irvine, 1999)</w:t>
      </w:r>
      <w:r w:rsidR="00F11A00">
        <w:rPr>
          <w:lang w:val="en-US"/>
        </w:rPr>
        <w:fldChar w:fldCharType="end"/>
      </w:r>
      <w:r w:rsidR="00F11A00">
        <w:rPr>
          <w:lang w:val="en-US"/>
        </w:rPr>
        <w:t>.</w:t>
      </w:r>
      <w:r w:rsidRPr="00D76BBA">
        <w:rPr>
          <w:lang w:val="en-US"/>
        </w:rPr>
        <w:t xml:space="preserve"> The contamination of the drug supply chain with fentanyl and fentanyl analogues poses an increasing risk of death for individuals using street opioids (PWUO) </w:t>
      </w:r>
      <w:r w:rsidR="00F40DD8">
        <w:rPr>
          <w:lang w:val="en-US"/>
        </w:rPr>
        <w:fldChar w:fldCharType="begin"/>
      </w:r>
      <w:r w:rsidR="00F40DD8">
        <w:rPr>
          <w:lang w:val="en-US"/>
        </w:rPr>
        <w:instrText xml:space="preserve"> ADDIN ZOTERO_ITEM CSL_CITATION {"citationID":"qfSs63JD","properties":{"formattedCitation":"(Ciccarone, 2019)","plainCitation":"(Ciccarone, 2019)","noteIndex":0},"citationItems":[{"id":184,"uris":["http://zotero.org/users/5293367/items/94LQENL6"],"itemData":{"id":184,"type":"article-journal","container-title":"The International Journal on Drug Policy","DOI":"10.1016/j.drugpo.2019.01.010","ISSN":"1873-4758","journalAbbreviation":"Int J Drug Policy","language":"eng","note":"PMID: 30718120\nPMCID: PMC6675668","page":"183-188","source":"PubMed","title":"The triple wave epidemic: Supply and demand drivers of the US opioid overdose crisis","title-short":"The triple wave epidemic","volume":"71","author":[{"family":"Ciccarone","given":"Daniel"}],"issued":{"date-parts":[["2019",9]]}}}],"schema":"https://github.com/citation-style-language/schema/raw/master/csl-citation.json"} </w:instrText>
      </w:r>
      <w:r w:rsidR="00F40DD8">
        <w:rPr>
          <w:lang w:val="en-US"/>
        </w:rPr>
        <w:fldChar w:fldCharType="separate"/>
      </w:r>
      <w:r w:rsidR="00F40DD8">
        <w:rPr>
          <w:noProof/>
          <w:lang w:val="en-US"/>
        </w:rPr>
        <w:t>(Ciccarone, 2019)</w:t>
      </w:r>
      <w:r w:rsidR="00F40DD8">
        <w:rPr>
          <w:lang w:val="en-US"/>
        </w:rPr>
        <w:fldChar w:fldCharType="end"/>
      </w:r>
      <w:r w:rsidRPr="00D76BBA">
        <w:rPr>
          <w:lang w:val="en-US"/>
        </w:rPr>
        <w:t xml:space="preserve"> not just because of their potency, but also because these compounds have longer half-lives relative to heroin </w:t>
      </w:r>
      <w:r w:rsidR="00F40DD8">
        <w:rPr>
          <w:lang w:val="en-US"/>
        </w:rPr>
        <w:fldChar w:fldCharType="begin"/>
      </w:r>
      <w:r w:rsidR="00F40DD8">
        <w:rPr>
          <w:lang w:val="en-US"/>
        </w:rPr>
        <w:instrText xml:space="preserve"> ADDIN ZOTERO_ITEM CSL_CITATION {"citationID":"sjH9cEXP","properties":{"formattedCitation":"(Davies et al., 1996)","plainCitation":"(Davies et al., 1996)","noteIndex":0},"citationItems":[{"id":186,"uris":["http://zotero.org/users/5293367/items/QE7PZPXB"],"itemData":{"id":186,"type":"article-journal","abstract":"Patients with renal insufficiency commonly require the administration of an opioid analgesic to provide adequate pain relief. The handling of morphine, pethidine (meperidine) and dextropropoxyphene in patients with renal insufficiency is complicated by the potential accumulation of metabolites. While morphine itself remains largely unaffected by renal failure, accumulation, as denoted by an increase in both mean peak concentrations and the area under the concentration-time curve, of both the active metabolite (morphine-6-glucuronide) and the principal metabolite (morphine-3-glucuronide, thought to possess opiate antagonist properties) have been reported. The increased elimination half-lives of the toxic metabolites norpethidine and norpropoxyphene in patients with poor renal function administered pethidine and dextropropoxyphene, respectively, makes their routine use ill advised. Case reports of prolonged narcosis associated with the use of both codeine and dihydrocodeine in patients with renal insufficiency call for care to be used when prescribing these agents under such conditions. Although the pharmacokinetics of buprenorphine, alfentanil, sufentanil and remifentanil change little in patients with renal failure, the continuous administration of fentanyl can lead to prolonged sedation.","container-title":"Clinical Pharmacokinetics","DOI":"10.2165/00003088-199631060-00002","ISSN":"0312-5963","issue":"6","journalAbbreviation":"Clin Pharmacokinet","language":"eng","note":"PMID: 8968655","page":"410-422","source":"PubMed","title":"Pharmacokinetics of opioids in renal dysfunction","volume":"31","author":[{"family":"Davies","given":"G."},{"family":"Kingswood","given":"C."},{"family":"Street","given":"M."}],"issued":{"date-parts":[["1996",12]]}}}],"schema":"https://github.com/citation-style-language/schema/raw/master/csl-citation.json"} </w:instrText>
      </w:r>
      <w:r w:rsidR="00F40DD8">
        <w:rPr>
          <w:lang w:val="en-US"/>
        </w:rPr>
        <w:fldChar w:fldCharType="separate"/>
      </w:r>
      <w:r w:rsidR="00F40DD8">
        <w:rPr>
          <w:noProof/>
          <w:lang w:val="en-US"/>
        </w:rPr>
        <w:t>(Davies et al., 1996)</w:t>
      </w:r>
      <w:r w:rsidR="00F40DD8">
        <w:rPr>
          <w:lang w:val="en-US"/>
        </w:rPr>
        <w:fldChar w:fldCharType="end"/>
      </w:r>
      <w:r w:rsidR="00F40DD8">
        <w:rPr>
          <w:lang w:val="en-US"/>
        </w:rPr>
        <w:t>.</w:t>
      </w:r>
      <w:r w:rsidRPr="00D76BBA">
        <w:rPr>
          <w:lang w:val="en-US"/>
        </w:rPr>
        <w:t xml:space="preserve"> </w:t>
      </w:r>
    </w:p>
    <w:p w14:paraId="10AD0496" w14:textId="115ACBAC" w:rsidR="00D76BBA" w:rsidRPr="00D76BBA" w:rsidRDefault="00D76BBA" w:rsidP="00571A01">
      <w:pPr>
        <w:spacing w:before="0" w:line="480" w:lineRule="auto"/>
        <w:ind w:firstLine="720"/>
        <w:contextualSpacing/>
        <w:rPr>
          <w:lang w:val="en-US"/>
        </w:rPr>
      </w:pPr>
      <w:r w:rsidRPr="00D76BBA">
        <w:rPr>
          <w:lang w:val="en-US"/>
        </w:rPr>
        <w:t xml:space="preserve">Successfully identifying patients who co-use BZDs and opioids (both prescribed and non-prescribed) is critical to provide interventions to reduce risk of fatal overdose, especially in the current adulterated opioid market. Clinical interventions such as Motivational Interviewing and Screening, Brief Intervention, and Referral to Treatment (SBIRT) help evaluate and identify risky </w:t>
      </w:r>
      <w:r w:rsidRPr="00D76BBA">
        <w:rPr>
          <w:lang w:val="en-US"/>
        </w:rPr>
        <w:lastRenderedPageBreak/>
        <w:t xml:space="preserve">behaviors and help patients resolve their ambivalence regarding behavior change </w:t>
      </w:r>
      <w:r w:rsidR="00F40DD8">
        <w:rPr>
          <w:lang w:val="en-US"/>
        </w:rPr>
        <w:fldChar w:fldCharType="begin"/>
      </w:r>
      <w:r w:rsidR="000208EE">
        <w:rPr>
          <w:lang w:val="en-US"/>
        </w:rPr>
        <w:instrText xml:space="preserve"> ADDIN ZOTERO_ITEM CSL_CITATION {"citationID":"zIPXKdQG","properties":{"formattedCitation":"(Saitz, 2007; Smedslund et al., 2011)","plainCitation":"(Saitz, 2007; Smedslund et al., 2011)","noteIndex":0},"citationItems":[{"id":194,"uris":["http://zotero.org/users/5293367/items/4VXQJKYW"],"itemData":{"id":194,"type":"article-journal","abstract":"About 40 years since the first controlled study, screening and brief intervention (SBI) are being disseminated into practice. But many unanswered questions remain. Studies in this special issue address what we know and don't know about alcohol and drug SBI, cost-effectiveness, patient preferences, education for clinicians, quality performance measures, 'no-contact' SBI, predictors of behavior change, and methodological concerns with the SBI literature. The best evidence for efficacy of SBI is that it can lead to decreased consumption in primary care patients with non-dependent unhealthy alcohol use. But further research is needed on brief drug screening tools, efficacy of SBI for drugs, effectiveness in real world settings, integration of SBI for alcohol and drugs with other health behaviors, effects of SBI on alcohol and drug consequences, effects on dependence among those not seeking help, and on how to best disseminate the efficacious elements of SBI into practice.","container-title":"Substance Abuse","DOI":"10.1300/J465v28n03_02","ISSN":"0889-7077","issue":"3","journalAbbreviation":"Subst Abus","language":"eng","note":"PMID: 18077299","page":"3-6","source":"PubMed","title":"Screening and brief intervention enter their 5th decade","volume":"28","author":[{"family":"Saitz","given":"Richard"}],"issued":{"date-parts":[["2007"]]}}},{"id":192,"uris":["http://zotero.org/users/5293367/items/8MYIVA3V"],"itemData":{"id":192,"type":"article-journal","abstract":"More than 76 million people worldwide have alcohol problems, and another 15 million have drug problems. Motivational interviewing (MI) is a psychological treatment that aims to help people cut down or stop using drugs and alcohol. The drug abuser and counsellor typically meet between one and four times for about one hour each time. The counsellor expresses that he or she understands how the clients feel about their problem and supports the clients in making their own decisions. He or she does not try to convince the client to change anything, but discusses with the client possible consequences of changing or staying the same. Finally, they discuss the clients' goals and where they are today relative to these goals. We searched for studies that had included people with alcohol or drug problems and that had divided them by chance into MI or a control group that either received nothing or some other treatment. We included only studies that had checked video or sound recordings of the therapies in order to be certain that what was given really was MI. The results in this review are based on 59 studies. The results show that people who have received MI have reduced their use of substances more than people who have not received any treatment. However, it seems that other active treatments, treatment as usual and being assessed and receiving feedback can be as effective as motivational interviewing. There was not enough data to conclude about the effects of MI on retention in treatment, readiness to change, or repeat convictions. The quality of the research forces us to be careful about our conclusions, and new research may change them. ABSTRACT Background There are 76.3 million people with alcohol use disorders worldwide and 15.3 million with drug use disorders. Motivational interviewing (MI) is a client-centred, semi-directive method for enhancing intrinsic motivation to change by exploring and resolving ambivalence. The intervention is used widely, and therefore it is important to find out whether it helps, harms or is ineffective. Objectives To assess the effectiveness of motivational interviewing for substance abuse on drug use, retention in treatment, readiness to change, and number of repeat convictions. Search strategy We searched 18 electronic databases, 5 web sites, 4 mailing lists, and reference lists from included studies and reviews. Search dates were November 30, 2010 for Cochrane Library, Medline, Embase and PsychINFO. Selection criteria Randomized controlled trials with persons dependent or abusing substance. Interventions were MI or motivational enhancement therapy. The outcomes were extent of substance abuse, retention in treatment, motivation for change, repeat conviction. Data collection and analysis Three authors independently assessed studies for inclusion, and two authors extracted data. Results were categorized into (1) MI versus no-treatment control, (2) MI versus treatment as usual, (3) MI versus assessment and feedback, and (4) MI versus other active treatment. Within each category, we computed meta-analyses separately for post-intervention, short, medium and long follow-ups. Main results We included 59 studies with a total of 13,342 participants. Compared to no treatment control MI showed a significant effect on substance use which was strongest at post-intervention SMD 0.79, (95% CI 0.48 to 1.09) and weaker at short SMD 0.17 (95% CI 0.09 to 0.26], and medium follow-up SMD 0.15 (95% CI 0.04 to 0.25]). For long follow-up, the effect was not significant SMD 0.06 (95% CI-0.16 to 0.28). There were no significant differences between MI and treatment as usual for either follow-up post-intervention, short and medium follow up. MI did better than assessment and feedback for medium follow-up SMD 0.38 (95% CI 0.10 to 0.66). For short follow-up, there was no significant effect . For other active intervention there were no significant effects for either follow-up. There was not enough data to conclude about effects of MI on the secondary outcomes. Authors' conclusions MI can reduce the extent of substance abuse compared to no intervention. The evidence is mostly of low quality, so further research is very likely to have an important impact on our confidence in the estimate of effect and is likely to change the estimate. PLAIN LANGUAGE SUMMARY Motivational interviewing is a short psychological treatment that can help people cut down on drugs and alcohol More than 76 million people worldwide have alcohol problems, and another 15 million have drug problems. Motivational interviewing (MI) is a psychological treatment that aims to help people cut down or stop using drugs and alcohol. The drug abuser and counsellor typically meet between one and four times for about one hour each time. The counsellor expresses that he or she understands how the clients feel about their problem and supports the clients in making their own decisions. He or she does not try to convince the client to change anything, but discusses with the client possible consequences of changing or staying the same. Finally, they discuss the clients' goals and where they are today relative to these goals. We searched for studies that had included people with alcohol or drug problems and that had divided them by chance into MI or a control group that either received nothing or some other treatment. We included only studies that had checked video or sound recordings of the therapies in order to be certain that what was given really was MI. The results in this review are based on 59 studies. The results show that people who have received MI have reduced their use of substances more than people who have not received any treatment. However, it seems that other active treatments, treatment as usual and being assessed and receiving feedback can be as effective as motivational interviewing. There was not enough data to conclude about the effects of MI on retention in treatment, readiness to change, or repeat convictions. The quality of the research forces us to be careful about our conclusions, and new research may change them.","container-title":"Campbell Systematic Reviews","DOI":"10.4073/csr.2011.6","ISSN":"1891-1803","issue":"1","language":"en","license":"© 2011 Smedslund et al.","note":"_eprint: https://onlinelibrary.wiley.com/doi/pdf/10.4073/csr.2011.6","page":"1-126","source":"Wiley Online Library","title":"Motivational interviewing for substance abuse","volume":"7","author":[{"family":"Smedslund","given":"Geir"},{"family":"Berg","given":"Rigmor C."},{"family":"Hammerstrøm","given":"Karianne T."},{"family":"Steiro","given":"Asbjørn"},{"family":"Leiknes","given":"Kari A."},{"family":"Dahl","given":"Helene M."},{"family":"Karlsen","given":"Kjetil"}],"issued":{"date-parts":[["2011"]]}}}],"schema":"https://github.com/citation-style-language/schema/raw/master/csl-citation.json"} </w:instrText>
      </w:r>
      <w:r w:rsidR="00F40DD8">
        <w:rPr>
          <w:lang w:val="en-US"/>
        </w:rPr>
        <w:fldChar w:fldCharType="separate"/>
      </w:r>
      <w:r w:rsidR="00342782">
        <w:rPr>
          <w:noProof/>
          <w:lang w:val="en-US"/>
        </w:rPr>
        <w:t>(Saitz, 2007; Smedslund et al., 2011)</w:t>
      </w:r>
      <w:r w:rsidR="00F40DD8">
        <w:rPr>
          <w:lang w:val="en-US"/>
        </w:rPr>
        <w:fldChar w:fldCharType="end"/>
      </w:r>
      <w:r w:rsidR="00342782">
        <w:rPr>
          <w:lang w:val="en-US"/>
        </w:rPr>
        <w:t>.</w:t>
      </w:r>
      <w:r w:rsidRPr="00D76BBA">
        <w:rPr>
          <w:lang w:val="en-US"/>
        </w:rPr>
        <w:t xml:space="preserve"> The clinical encounter is an accepted and feasible opportunity to engage opioid-using patients in harm reduction behaviors such as utilizing naloxone </w:t>
      </w:r>
      <w:r w:rsidR="00342782">
        <w:rPr>
          <w:lang w:val="en-US"/>
        </w:rPr>
        <w:fldChar w:fldCharType="begin"/>
      </w:r>
      <w:r w:rsidR="00342782">
        <w:rPr>
          <w:lang w:val="en-US"/>
        </w:rPr>
        <w:instrText xml:space="preserve"> ADDIN ZOTERO_ITEM CSL_CITATION {"citationID":"H8PXsjpU","properties":{"formattedCitation":"(Behar et al., 2018)","plainCitation":"(Behar et al., 2018)","noteIndex":0},"citationItems":[{"id":159,"uris":["http://zotero.org/users/5293367/items/R6Y7EANQ"],"itemData":{"id":159,"type":"article-journal","abstract":"Naloxone access through established healthcare settings is critical to responding to the opioid crisis. We conducted a systematic review to assess the acceptability and feasibility of prescribing naloxone to patients in primary care. We queried PubMed, EmBase and CINAHL for US-based, peer-reviewed, full-length, original articles relating to acceptability or feasibility of prescribing naloxone in primary care. Searches yielded 270 unduplicated articles; one analyst reviewed all titles and abstracts. Two analysts independently reviewed eligible articles for study design, study outcome, and acceptability and/or feasibility. Analyses were compared and a third reviewer consulted if discrepancies emerged. Seventeen articles were included. Providers' willingness to prescribe naloxone appeared to increase over time. Most studies provided prescribers in-person naloxone trainings, including how to write a prescription and indications for prescribing. Most studies implemented universal prescribing, whereby anyone prescribed long-term opioids or otherwise at risk for overdose was eligible for naloxone. Patient education was largely provided by prescribers and most studies provided take-home educational materials. Providers reported concerns around naloxone prescribing including lack of knowledge around prescribing and educating patients. Providers also reported benefits such as improving difficult conversations around opioids and resetting the culture around opioids and overdose. Current literature supports the acceptability and feasibility of naloxone prescribing in primary care. Provision of naloxone through primary care may help normalize such medication safety interventions, support larger opioid stewardship efforts, and expand access to patients not served by a community distribution program.","container-title":"Preventive Medicine","DOI":"10.1016/j.ypmed.2018.06.005","ISSN":"1096-0260","journalAbbreviation":"Prev Med","language":"eng","note":"PMID: 29908763\nPMCID: PMC6082708","page":"79-87","source":"PubMed","title":"Acceptability and feasibility of naloxone prescribing in primary care settings: A systematic review","title-short":"Acceptability and feasibility of naloxone prescribing in primary care settings","volume":"114","author":[{"family":"Behar","given":"Emily"},{"family":"Bagnulo","given":"Rita"},{"family":"Coffin","given":"Phillip O."}],"issued":{"date-parts":[["2018",9]]}}}],"schema":"https://github.com/citation-style-language/schema/raw/master/csl-citation.json"} </w:instrText>
      </w:r>
      <w:r w:rsidR="00342782">
        <w:rPr>
          <w:lang w:val="en-US"/>
        </w:rPr>
        <w:fldChar w:fldCharType="separate"/>
      </w:r>
      <w:r w:rsidR="00342782">
        <w:rPr>
          <w:noProof/>
          <w:lang w:val="en-US"/>
        </w:rPr>
        <w:t>(Behar et al., 2018)</w:t>
      </w:r>
      <w:r w:rsidR="00342782">
        <w:rPr>
          <w:lang w:val="en-US"/>
        </w:rPr>
        <w:fldChar w:fldCharType="end"/>
      </w:r>
      <w:r w:rsidRPr="00D76BBA">
        <w:rPr>
          <w:lang w:val="en-US"/>
        </w:rPr>
        <w:t xml:space="preserve">, which is associated with reduced overdose mortality </w:t>
      </w:r>
      <w:r w:rsidR="00342782">
        <w:rPr>
          <w:lang w:val="en-US"/>
        </w:rPr>
        <w:fldChar w:fldCharType="begin"/>
      </w:r>
      <w:r w:rsidR="00342782">
        <w:rPr>
          <w:lang w:val="en-US"/>
        </w:rPr>
        <w:instrText xml:space="preserve"> ADDIN ZOTERO_ITEM CSL_CITATION {"citationID":"ajQ1VrxP","properties":{"formattedCitation":"(McDonald and Strang, 2016)","plainCitation":"(McDonald and Strang, 2016)","noteIndex":0},"citationItems":[{"id":161,"uris":["http://zotero.org/users/5293367/items/IFRWHEUJ"],"itemData":{"id":161,"type":"article-journal","abstract":"Background and Aims Fatal outcome of opioid overdose, once detected, is preventable through timely administration of the antidote naloxone. Take-home naloxone provision directly to opioid users for emergency use has been implemented recently in more than 15 countries worldwide, albeit mainly as pilot schemes and without formal evaluation. This systematic review assesses the effectiveness of take-home naloxone, with two specific aims: (1) to study the impact of take-home naloxone distribution on overdose-related mortality; and (2) to assess the safety of take-home naloxone in terms of adverse events. Methods PubMed, MEDLINE and PsychINFO were searched for English-language peer-reviewed publications (randomized or observational trials) using the Boolean search query: (opioid OR opiate) AND overdose AND prevention. Evidence was evaluated using the nine Bradford Hill criteria for causation, devised to assess a potential causal relationship between public health interventions and clinical outcomes when only observational data are available. Results A total of 1397 records (1164 after removal of duplicates) were retrieved, with 22 observational studies meeting eligibility criteria. Due to variability in size and quality of the included studies, meta-analysis was dismissed in favour of narrative synthesis. From eligible studies, we found take-home naloxone met all nine Bradford Hill criteria. The additional five World Health Organization criteria were all either met partially (two) or fully (three). Even with take-home naloxone administration, fatal outcome was reported in one in 123 overdose cases (0.8%; 95% confidence interval = 0.4, 1.2). Conclusions Take-home naloxone programmes are found to reduce overdose mortality among programme participants and in the community and have a low rate of adverse events.","container-title":"Addiction","DOI":"10.1111/add.13326","ISSN":"1360-0443","issue":"7","language":"en","note":"_eprint: https://onlinelibrary.wiley.com/doi/pdf/10.1111/add.13326","page":"1177-1187","source":"Wiley Online Library","title":"Are take-home naloxone programmes effective? Systematic review utilizing application of the Bradford Hill criteria","title-short":"Are take-home naloxone programmes effective?","volume":"111","author":[{"family":"McDonald","given":"Rebecca"},{"family":"Strang","given":"John"}],"issued":{"date-parts":[["2016"]]}}}],"schema":"https://github.com/citation-style-language/schema/raw/master/csl-citation.json"} </w:instrText>
      </w:r>
      <w:r w:rsidR="00342782">
        <w:rPr>
          <w:lang w:val="en-US"/>
        </w:rPr>
        <w:fldChar w:fldCharType="separate"/>
      </w:r>
      <w:r w:rsidR="00342782">
        <w:rPr>
          <w:noProof/>
          <w:lang w:val="en-US"/>
        </w:rPr>
        <w:t>(McDonald and Strang, 2016)</w:t>
      </w:r>
      <w:r w:rsidR="00342782">
        <w:rPr>
          <w:lang w:val="en-US"/>
        </w:rPr>
        <w:fldChar w:fldCharType="end"/>
      </w:r>
      <w:r w:rsidR="00342782">
        <w:rPr>
          <w:lang w:val="en-US"/>
        </w:rPr>
        <w:t xml:space="preserve">. </w:t>
      </w:r>
      <w:r w:rsidRPr="00D76BBA">
        <w:rPr>
          <w:lang w:val="en-US"/>
        </w:rPr>
        <w:t xml:space="preserve">Other strategies to reduce overdose risk include education about using with others </w:t>
      </w:r>
      <w:r w:rsidR="00342782">
        <w:rPr>
          <w:lang w:val="en-US"/>
        </w:rPr>
        <w:fldChar w:fldCharType="begin"/>
      </w:r>
      <w:r w:rsidR="00342782">
        <w:rPr>
          <w:lang w:val="en-US"/>
        </w:rPr>
        <w:instrText xml:space="preserve"> ADDIN ZOTERO_ITEM CSL_CITATION {"citationID":"kmksIBYN","properties":{"formattedCitation":"(National Harm Reduction Coalition, n.d.)","plainCitation":"(National Harm Reduction Coalition, n.d.)","noteIndex":0},"citationItems":[{"id":196,"uris":["http://zotero.org/users/5293367/items/VHG926ZP"],"itemData":{"id":196,"type":"post-weblog","abstract":"This training guide outlines the process of developing and managing an Overdose Prevention and Education Program.","language":"en-US","title":"Getting Off Right","URL":"https://harmreduction.org/issues/safer-drug-use/injection-safety-manual/","author":[{"family":"National Harm Reduction Coalition","given":""}],"accessed":{"date-parts":[["2022",2,12]]}}}],"schema":"https://github.com/citation-style-language/schema/raw/master/csl-citation.json"} </w:instrText>
      </w:r>
      <w:r w:rsidR="00342782">
        <w:rPr>
          <w:lang w:val="en-US"/>
        </w:rPr>
        <w:fldChar w:fldCharType="separate"/>
      </w:r>
      <w:r w:rsidR="00342782">
        <w:rPr>
          <w:noProof/>
          <w:lang w:val="en-US"/>
        </w:rPr>
        <w:t>(National Harm Reduction Coalition, n.d.)</w:t>
      </w:r>
      <w:r w:rsidR="00342782">
        <w:rPr>
          <w:lang w:val="en-US"/>
        </w:rPr>
        <w:fldChar w:fldCharType="end"/>
      </w:r>
      <w:r w:rsidR="00342782">
        <w:rPr>
          <w:lang w:val="en-US"/>
        </w:rPr>
        <w:t xml:space="preserve"> </w:t>
      </w:r>
      <w:r w:rsidRPr="00D76BBA">
        <w:rPr>
          <w:lang w:val="en-US"/>
        </w:rPr>
        <w:t>and testing street drugs</w:t>
      </w:r>
      <w:r w:rsidR="00A66DA4">
        <w:rPr>
          <w:lang w:val="en-US"/>
        </w:rPr>
        <w:t xml:space="preserve"> for contamination</w:t>
      </w:r>
      <w:r w:rsidR="00A66DA4" w:rsidRPr="00D76BBA">
        <w:rPr>
          <w:lang w:val="en-US"/>
        </w:rPr>
        <w:t xml:space="preserve"> </w:t>
      </w:r>
      <w:r w:rsidRPr="00D76BBA">
        <w:rPr>
          <w:lang w:val="en-US"/>
        </w:rPr>
        <w:t xml:space="preserve">prior to </w:t>
      </w:r>
      <w:r w:rsidR="00452E52">
        <w:rPr>
          <w:lang w:val="en-US"/>
        </w:rPr>
        <w:t xml:space="preserve">use </w:t>
      </w:r>
      <w:r w:rsidR="00452E52">
        <w:rPr>
          <w:lang w:val="en-US"/>
        </w:rPr>
        <w:fldChar w:fldCharType="begin"/>
      </w:r>
      <w:r w:rsidR="00452E52">
        <w:rPr>
          <w:lang w:val="en-US"/>
        </w:rPr>
        <w:instrText xml:space="preserve"> ADDIN ZOTERO_ITEM CSL_CITATION {"citationID":"cD3FrlA2","properties":{"formattedCitation":"(Mars et al., 2018)","plainCitation":"(Mars et al., 2018)","noteIndex":0},"citationItems":[{"id":105,"uris":["http://zotero.org/users/5293367/items/NYNR5W32"],"itemData":{"id":105,"type":"article-journal","abstract":"BACKGROUND: Internationally, overdose is the primary cause of death among people injecting drugs. However, since 2001, heroin-related overdose deaths in the United States (US) have risen sixfold, paralleled by a rise in the death rate attributed to synthetic opioids, particularly the fentanyls. This paper considers the adaptations some US heroin injectors are making to protect themselves from these risks.\nMETHODS: Between 2015 and 2016, a team of ethnographers collected data through semi-structured interviews and observation captured in field notes and video recording of heroin preparation/consumption. Ninety-one current heroin injectors were interviewed (Baltimore, n = 22; Chicago, n = 24; Massachusetts and New Hampshire, n = 36; San Francisco, n = 9). Experience injecting heroin ranged from &lt; 1-47 years. Eight participants, who were exclusively heroin snorters, were also interviewed. Data were analyzed thematically.\nRESULTS: Across the study sites, multiple methods of sampling \"heroin\" were identified, sometimes used in combination, ranging from non-injecting routes (snorting, smoking or tasting a small amount prior to injection) to injecting a partial dose and waiting. Partial injection took different forms: a \"slow shot\" where the user injected a portion of the solution in the syringe, keeping the needle in the injection site, and continuing or withdrawing the syringe or a \"tester shot\" where the solution was divided into separate injections. Other techniques included getting feedback from others using heroin of the same batch or observing those with higher tolerance injecting heroin from the same batch before judging how much to inject themselves. Although a minority of those interviewed described using these drug sampling techniques, there is clearly receptivity among some users to protecting themselves by using a variety of methods.\nCONCLUSIONS: The use of drug sampling as a means of preventing an overdose from injection drug use reduces the quantity absorbed at any one time allowing users to monitor drug strength and titrate their dose accordingly. Given the highly unpredictable potency of the drugs currently being sold as heroin in the US, universal precautions should be adopted more widely. Further research is needed into facilitators and barriers to the uptake of these drug sampling methods.","container-title":"Harm Reduction Journal","DOI":"10.1186/s12954-018-0232-z","ISSN":"1477-7517","issue":"1","journalAbbreviation":"Harm Reduct J","language":"eng","note":"PMID: 29769132\nPMCID: PMC5956544","page":"26","source":"PubMed","title":"Toots, tastes and tester shots: user accounts of drug sampling methods for gauging heroin potency","title-short":"Toots, tastes and tester shots","volume":"15","author":[{"family":"Mars","given":"Sarah G."},{"family":"Ondocsin","given":"Jeff"},{"family":"Ciccarone","given":"Daniel"}],"issued":{"date-parts":[["2018",5,16]]}}}],"schema":"https://github.com/citation-style-language/schema/raw/master/csl-citation.json"} </w:instrText>
      </w:r>
      <w:r w:rsidR="00452E52">
        <w:rPr>
          <w:lang w:val="en-US"/>
        </w:rPr>
        <w:fldChar w:fldCharType="separate"/>
      </w:r>
      <w:r w:rsidR="00452E52">
        <w:rPr>
          <w:noProof/>
          <w:lang w:val="en-US"/>
        </w:rPr>
        <w:t>(Mars et al., 2018)</w:t>
      </w:r>
      <w:r w:rsidR="00452E52">
        <w:rPr>
          <w:lang w:val="en-US"/>
        </w:rPr>
        <w:fldChar w:fldCharType="end"/>
      </w:r>
      <w:r w:rsidR="00452E52">
        <w:rPr>
          <w:lang w:val="en-US"/>
        </w:rPr>
        <w:t>.</w:t>
      </w:r>
      <w:r w:rsidRPr="00D76BBA">
        <w:rPr>
          <w:lang w:val="en-US"/>
        </w:rPr>
        <w:t xml:space="preserve"> </w:t>
      </w:r>
    </w:p>
    <w:p w14:paraId="7E7F23C1" w14:textId="0006B8F1" w:rsidR="00D76BBA" w:rsidRPr="00D76BBA" w:rsidRDefault="00D76BBA" w:rsidP="00571A01">
      <w:pPr>
        <w:spacing w:before="0" w:line="480" w:lineRule="auto"/>
        <w:ind w:firstLine="720"/>
        <w:contextualSpacing/>
        <w:rPr>
          <w:lang w:val="en-US"/>
        </w:rPr>
      </w:pPr>
      <w:r w:rsidRPr="00D76BBA">
        <w:rPr>
          <w:lang w:val="en-US"/>
        </w:rPr>
        <w:t>Factors associated with BZD use among PWUO have been well studied. In a sample of adults endorsing past 30-day nonmedical prescription opioid use, Bouvier et al</w:t>
      </w:r>
      <w:r w:rsidR="004D375F">
        <w:rPr>
          <w:lang w:val="en-US"/>
        </w:rPr>
        <w:t>.</w:t>
      </w:r>
      <w:r w:rsidRPr="00D76BBA">
        <w:rPr>
          <w:lang w:val="en-US"/>
        </w:rPr>
        <w:t xml:space="preserve"> </w:t>
      </w:r>
      <w:r w:rsidR="004D375F">
        <w:rPr>
          <w:lang w:val="en-US"/>
        </w:rPr>
        <w:fldChar w:fldCharType="begin"/>
      </w:r>
      <w:r w:rsidR="004D375F">
        <w:rPr>
          <w:lang w:val="en-US"/>
        </w:rPr>
        <w:instrText xml:space="preserve"> ADDIN ZOTERO_ITEM CSL_CITATION {"citationID":"5UMLNo6g","properties":{"formattedCitation":"(2018)","plainCitation":"(2018)","noteIndex":0},"citationItems":[{"id":129,"uris":["http://zotero.org/users/5293367/items/HUX5T748"],"itemData":{"id":129,"type":"article-journal","abstract":"BACKGROUND: Benzodiazepine use dramatically increases the risk of unintentional overdose among people who use opioids non-medically. However, little is known about the patterns of co-occurring benzodiazepine and opioid use among young adults in the United States.\nMETHODS: The Rhode Island Young Adult Prescription Drug Study (RAPiDS) was a cross-sectional study from January 2015-February 2016. RAPiDS recruited 200 young adults aged 18-29 who reported past 30-day non-medical prescription opioid (NMPO) use. Using Wilcoxon rank sum test and Fisher's exact test, we examined correlates associated with regular prescribed and non-medical use (defined as at least monthly) of benzodiazepines among NMPO users in Rhode Island.\nRESULTS: Among participants, 171 (85.5%) reported lifetime benzodiazepine use and 125 (62.5%) reported regular benzodiazepine use. Nearly all (n=121, 96.8%) reported non-medical use and 43 (34.4%) reported prescribed use. Compared to the 75 participants who did not regularly use benzodiazepines, participants who reported regular use were more likely to be white (66.3% vs. 58.0%, p=0.03), have ever been incarcerated (52.8% vs. 37.3%, p=0.04), and have ever been diagnosed with a psychiatric disorder (bipolar: 29.6% vs. 16.0%, p=0.04; anxiety: 56.8 vs. 36.0%, p=0.01). Although the association was marginally significant, accidental overdose was higher among those who were prescribed the benzodiazepine they used most frequently compared to those who were not (41.9% vs. 24.4%, p=0.06).\nCONCLUSION: Benzodiazepine use and misuse are highly prevalent among young adult NMPO users. Harm reduction and prevention programs for this population are urgently needed.","container-title":"Drug and Alcohol Dependence","DOI":"10.1016/j.drugalcdep.2017.10.023","ISSN":"1879-0046","journalAbbreviation":"Drug Alcohol Depend","language":"eng","note":"PMID: 29241103\nPMCID: PMC5803376","page":"73-77","source":"PubMed","title":"Prevalence and correlates of benzodiazepine use and misuse among young adults who use prescription opioids non-medically","volume":"183","author":[{"family":"Bouvier","given":"Benjamin A."},{"family":"Waye","given":"Katherine M."},{"family":"Elston","given":"Beth"},{"family":"Hadland","given":"Scott E."},{"family":"Green","given":"Traci C."},{"family":"Marshall","given":"Brandon D. L."}],"issued":{"date-parts":[["2018",2,1]]}},"suppress-author":true}],"schema":"https://github.com/citation-style-language/schema/raw/master/csl-citation.json"} </w:instrText>
      </w:r>
      <w:r w:rsidR="004D375F">
        <w:rPr>
          <w:lang w:val="en-US"/>
        </w:rPr>
        <w:fldChar w:fldCharType="separate"/>
      </w:r>
      <w:r w:rsidR="004D375F">
        <w:rPr>
          <w:noProof/>
          <w:lang w:val="en-US"/>
        </w:rPr>
        <w:t>(2018)</w:t>
      </w:r>
      <w:r w:rsidR="004D375F">
        <w:rPr>
          <w:lang w:val="en-US"/>
        </w:rPr>
        <w:fldChar w:fldCharType="end"/>
      </w:r>
      <w:r w:rsidRPr="00D76BBA">
        <w:rPr>
          <w:lang w:val="en-US"/>
        </w:rPr>
        <w:t xml:space="preserve"> found that regular BZD use (“at least monthly”</w:t>
      </w:r>
      <w:r w:rsidR="00692274">
        <w:rPr>
          <w:lang w:val="en-US"/>
        </w:rPr>
        <w:t xml:space="preserve"> of either prescribed or non-</w:t>
      </w:r>
      <w:r w:rsidR="00B57B95">
        <w:rPr>
          <w:lang w:val="en-US"/>
        </w:rPr>
        <w:t>prescribed</w:t>
      </w:r>
      <w:r w:rsidR="00692274">
        <w:rPr>
          <w:lang w:val="en-US"/>
        </w:rPr>
        <w:t xml:space="preserve"> BZDs</w:t>
      </w:r>
      <w:r w:rsidRPr="00D76BBA">
        <w:rPr>
          <w:lang w:val="en-US"/>
        </w:rPr>
        <w:t>) was associated with being white and ever being diagnosed with a psychiatric disorder, particularly bipolar disorder, or anxiety. McHugh et al</w:t>
      </w:r>
      <w:r w:rsidR="004D375F">
        <w:rPr>
          <w:lang w:val="en-US"/>
        </w:rPr>
        <w:t>.</w:t>
      </w:r>
      <w:r w:rsidRPr="00D76BBA">
        <w:rPr>
          <w:lang w:val="en-US"/>
        </w:rPr>
        <w:t xml:space="preserve"> </w:t>
      </w:r>
      <w:r w:rsidR="004D375F">
        <w:rPr>
          <w:lang w:val="en-US"/>
        </w:rPr>
        <w:fldChar w:fldCharType="begin"/>
      </w:r>
      <w:r w:rsidR="004D375F">
        <w:rPr>
          <w:lang w:val="en-US"/>
        </w:rPr>
        <w:instrText xml:space="preserve"> ADDIN ZOTERO_ITEM CSL_CITATION {"citationID":"9xS8LoD0","properties":{"formattedCitation":"(2017)","plainCitation":"(2017)","noteIndex":0},"citationItems":[{"id":167,"uris":["http://zotero.org/users/5293367/items/Y9WP6572"],"itemData":{"id":167,"type":"article-journal","abstract":"Nonmedical benzodiazepine use is common among adults with opioid use disorder; however, little is known about this co-occurrence. Anxiety sensitivity–the fear of anxiety symptoms and sensations–motivates behaviors to escape and avoid distressing states, and accordingly is associated with coping motives for substance use. This might be particularly relevant among women, who report using substances to cope with negative emotions more often than men. The aim of the current study was to examine whether nonmedical benzodiazepine use was associated with higher anxiety sensitivity among treatment-seeking adults diagnosed with opioid use disorder, and to investigate whether gender moderated this association. A sample of adults (ranging in age from 18 to 81years) receiving inpatient treatment for opioid use disorder (N=257) completed measures of anxiety, anxiety sensitivity, and benzodiazepine use frequency. Results of an analysis of variance indicated that frequency of past-month nonmedical benzodiazepine use was associated with significantly higher anxiety sensitivity. This effect remained when controlling for the effect of anxiety symptoms (F[1, 251]=3.91, p=0.049, ηp2=0.02). Gender moderated this association, and post-hoc analyses found a strong association between nonmedical benzodiazepine use and anxiety sensitivity in women, and not men. Anxiety sensitivity, which can be reduced with treatment, might be a candidate therapeutic target in this population, particularly in women.","container-title":"Addictive Behaviors","DOI":"10.1016/j.addbeh.2016.08.020","ISSN":"0306-4603","journalAbbreviation":"Addictive Behaviors","language":"en","page":"283-288","source":"ScienceDirect","title":"Anxiety sensitivity and nonmedical benzodiazepine use among adults with opioid use disorder","volume":"65","author":[{"family":"McHugh","given":"R. Kathryn"},{"family":"Votaw","given":"Victoria R."},{"family":"Bogunovic","given":"Olivera"},{"family":"Karakula","given":"Sterling L."},{"family":"Griffin","given":"Margaret L."},{"family":"Weiss","given":"Roger D."}],"issued":{"date-parts":[["2017",2,1]]}},"suppress-author":true}],"schema":"https://github.com/citation-style-language/schema/raw/master/csl-citation.json"} </w:instrText>
      </w:r>
      <w:r w:rsidR="004D375F">
        <w:rPr>
          <w:lang w:val="en-US"/>
        </w:rPr>
        <w:fldChar w:fldCharType="separate"/>
      </w:r>
      <w:r w:rsidR="004D375F">
        <w:rPr>
          <w:noProof/>
          <w:lang w:val="en-US"/>
        </w:rPr>
        <w:t>(2017)</w:t>
      </w:r>
      <w:r w:rsidR="004D375F">
        <w:rPr>
          <w:lang w:val="en-US"/>
        </w:rPr>
        <w:fldChar w:fldCharType="end"/>
      </w:r>
      <w:r w:rsidRPr="00D76BBA">
        <w:rPr>
          <w:lang w:val="en-US"/>
        </w:rPr>
        <w:t xml:space="preserve"> also found past-month </w:t>
      </w:r>
      <w:r w:rsidR="00B57B95">
        <w:rPr>
          <w:lang w:val="en-US"/>
        </w:rPr>
        <w:t>non-prescribed</w:t>
      </w:r>
      <w:r w:rsidR="00692274">
        <w:rPr>
          <w:lang w:val="en-US"/>
        </w:rPr>
        <w:t xml:space="preserve"> </w:t>
      </w:r>
      <w:r w:rsidRPr="00D76BBA">
        <w:rPr>
          <w:lang w:val="en-US"/>
        </w:rPr>
        <w:t>BZD use was associated with higher anxiety sensitivity among a sample of adults receiving inpatient treatment for opioid use disorder. In a sample of PWUO in Vancouver, Tucker e</w:t>
      </w:r>
      <w:r w:rsidR="004D375F">
        <w:rPr>
          <w:lang w:val="en-US"/>
        </w:rPr>
        <w:t>t</w:t>
      </w:r>
      <w:r w:rsidRPr="00D76BBA">
        <w:rPr>
          <w:lang w:val="en-US"/>
        </w:rPr>
        <w:t xml:space="preserve"> al</w:t>
      </w:r>
      <w:r w:rsidR="004D375F">
        <w:rPr>
          <w:lang w:val="en-US"/>
        </w:rPr>
        <w:t>.</w:t>
      </w:r>
      <w:r w:rsidRPr="00D76BBA">
        <w:rPr>
          <w:lang w:val="en-US"/>
        </w:rPr>
        <w:t xml:space="preserve"> </w:t>
      </w:r>
      <w:r w:rsidR="004D375F">
        <w:rPr>
          <w:lang w:val="en-US"/>
        </w:rPr>
        <w:fldChar w:fldCharType="begin"/>
      </w:r>
      <w:r w:rsidR="004D375F">
        <w:rPr>
          <w:lang w:val="en-US"/>
        </w:rPr>
        <w:instrText xml:space="preserve"> ADDIN ZOTERO_ITEM CSL_CITATION {"citationID":"AXbmEwUu","properties":{"formattedCitation":"(2016)","plainCitation":"(2016)","noteIndex":0},"citationItems":[{"id":165,"uris":["http://zotero.org/users/5293367/items/KZHMUENW"],"itemData":{"id":165,"type":"article-journal","abstract":"Background\nThough known to have abuse potential, benzodiazepine medications remain widely prescribed. Furthermore, issues related to benzodiazepine use by people who inject drugs (PWID) remain to be fully characterized. We therefore sought to examine the prevalence of and risk factors associated with benzodiazepine use in a street-involved urban population.\nMethods\nBetween May 1996 and November 2013, data were derived from two open prospective cohort studies in Vancouver, Canada, restricted to PWID. Multivariable logistic regression with generalized estimating equations (GEE) was used to determine factors independently associated with benzodiazepine use.\nResults\nOver the study period, 2806 individuals were recruited, including 949 (34%) women. Of these, 1080 (38.5%) participants reported benzodiazepine use at least once during the study period. In the multivariable analysis, Caucasian ethnicity, ≥ daily heroin injection, ≥ daily cocaine injection, non-fatal overdose, incarceration, syringe sharing, and unsafe sex were all independently associated with benzodiazepine use. Conversely, older age, homelessness, and ≥ daily crack smoking were negatively associated with benzodiazepine use.\nConclusions\nUse of benzodiazepines was common in this urban setting and was associated with several markers of addiction severity and significant health and social vulnerabilities including syringe sharing and unsafe sex. These findings underscore the need to promote treatment for benzodiazepine use, safer benzodiazepine prescribing, including greater recognition of the limited indications for evidence-based use of this medication class.","container-title":"Addictive Behaviors","DOI":"10.1016/j.addbeh.2015.10.002","ISSN":"0306-4603","journalAbbreviation":"Addictive Behaviors","language":"en","page":"103-107","source":"ScienceDirect","title":"Risk factors associated with benzodiazepine use among people who inject drugs in an urban Canadian setting","volume":"52","author":[{"family":"Tucker","given":"Devin"},{"family":"Hayashi","given":"Kanna"},{"family":"Milloy","given":"M. -J."},{"family":"Nolan","given":"Seonaid"},{"family":"Dong","given":"Huiru"},{"family":"Kerr","given":"Thomas"},{"family":"Wood","given":"Evan"}],"issued":{"date-parts":[["2016",1,1]]}},"suppress-author":true}],"schema":"https://github.com/citation-style-language/schema/raw/master/csl-citation.json"} </w:instrText>
      </w:r>
      <w:r w:rsidR="004D375F">
        <w:rPr>
          <w:lang w:val="en-US"/>
        </w:rPr>
        <w:fldChar w:fldCharType="separate"/>
      </w:r>
      <w:r w:rsidR="004D375F">
        <w:rPr>
          <w:noProof/>
          <w:lang w:val="en-US"/>
        </w:rPr>
        <w:t>(2016)</w:t>
      </w:r>
      <w:r w:rsidR="004D375F">
        <w:rPr>
          <w:lang w:val="en-US"/>
        </w:rPr>
        <w:fldChar w:fldCharType="end"/>
      </w:r>
      <w:r w:rsidRPr="00D76BBA">
        <w:rPr>
          <w:lang w:val="en-US"/>
        </w:rPr>
        <w:t xml:space="preserve"> found that past six-month BZD </w:t>
      </w:r>
      <w:r w:rsidR="00B57B95">
        <w:rPr>
          <w:lang w:val="en-US"/>
        </w:rPr>
        <w:t xml:space="preserve">use (either prescribed or non-prescribed) </w:t>
      </w:r>
      <w:r w:rsidRPr="00D76BBA">
        <w:rPr>
          <w:lang w:val="en-US"/>
        </w:rPr>
        <w:t>was associated with being white, daily heroin injection and daily cocaine injection. In another sample of PWUO, Mateu-Gelabert et al</w:t>
      </w:r>
      <w:r w:rsidR="004D375F">
        <w:rPr>
          <w:lang w:val="en-US"/>
        </w:rPr>
        <w:t>.</w:t>
      </w:r>
      <w:r w:rsidRPr="00D76BBA">
        <w:rPr>
          <w:lang w:val="en-US"/>
        </w:rPr>
        <w:t xml:space="preserve"> </w:t>
      </w:r>
      <w:r w:rsidR="004D375F">
        <w:rPr>
          <w:lang w:val="en-US"/>
        </w:rPr>
        <w:fldChar w:fldCharType="begin"/>
      </w:r>
      <w:r w:rsidR="004D375F">
        <w:rPr>
          <w:lang w:val="en-US"/>
        </w:rPr>
        <w:instrText xml:space="preserve"> ADDIN ZOTERO_ITEM CSL_CITATION {"citationID":"HnTruIyG","properties":{"formattedCitation":"(2017)","plainCitation":"(2017)","noteIndex":0},"citationItems":[{"id":87,"uris":["http://zotero.org/users/5293367/items/5VXLK898"],"itemData":{"id":87,"type":"article-journal","abstract":"Background\nBenzodiazepines are a widely prescribed psychoactive drug; in the U.S., both medical and nonmedical use of benzodiazepines has increased markedly in the past 15 years. Long-term use can lead to tolerance and dependence, and abrupt withdrawal can cause seizures or other life-threatening symptoms. Benzodiazepines are often used nonmedically in conjunction with other drugs, and with opioids in particular—a combination that can increase the risk for fatal and non-fatal overdose. This mixed-methods study examines nonmedical use of benzodiazepines among young adults in New York City and its relationship with opioid use.\nMethods\nFor qualitative analysis, 46 90-minute semi-structured interviews were conducted with young adult opioid users (ages 18–32). Interviews were transcribed and coded for key themes. For quantitative analysis, 464 young adult opioid users (ages 18–29) were recruited using Respondent-Driven Sampling and completed structured interviews. Benzodiazepine use was assessed via a self-report questionnaire that included measures related to nonmedical benzodiazepine and opioid use.\nResults\nParticipants reported using benzodiazepines nonmedically for a wide variety of reasons, including: to increase the high of other drugs; to lessen withdrawal symptoms; and to come down from other drugs. Benzodiazepines were described as readily available and cheap. There was a high prevalence (93%) of nonmedical benzodiazepine use among nonmedical opioid users, with 57% reporting regular nonmedical use. In bivariate analyses, drug-related risk behaviours such as polysubstance use, drug binging, heroin injection and overdose were strongly associated with regular nonmedical benzodiazepine use. In multivariate analysis, growing up in a middle-income household (earning between $51,000 and $100,000 annually), lifetime overdose experience, having ever used cocaine regularly, having ever been prescribed benzodiazepines, recent drug binging, and encouraging fellow drug users to use benzodiazepines to cope with opioid withdrawal were consistently strong predictors of regular nonmedical benzodiazepine use.\nConclusion\nNonmedical benzodiazepine use may be common among nonmedical opioid users due to its drug-related multi-functionality. Harm reduction messages should account for the multiple functions benzodiazepines serve in a drug-using context, and encourage drug users to tailor their endorsement of benzodiazepines to peers to include safer alternatives.","container-title":"International Journal of Drug Policy","DOI":"10.1016/j.drugpo.2017.05.016","ISSN":"0955-3959","journalAbbreviation":"International Journal of Drug Policy","language":"en","page":"17-27","source":"ScienceDirect","title":"High enhancer, downer, withdrawal helper: Multifunctional nonmedical benzodiazepine use among young adult opioid users in New York City","title-short":"High enhancer, downer, withdrawal helper","volume":"46","author":[{"family":"Mateu-Gelabert","given":"Pedro"},{"family":"Jessell","given":"Lauren"},{"family":"Goodbody","given":"Elizabeth"},{"family":"Kim","given":"Dongah"},{"family":"Gile","given":"Krista"},{"family":"Teubl","given":"Jennifer"},{"family":"Syckes","given":"Cassandra"},{"family":"Ruggles","given":"Kelly"},{"family":"Lazar","given":"Jeffrey"},{"family":"Friedman","given":"Sam"},{"family":"Guarino","given":"Honoria"}],"issued":{"date-parts":[["2017",8,1]]}},"suppress-author":true}],"schema":"https://github.com/citation-style-language/schema/raw/master/csl-citation.json"} </w:instrText>
      </w:r>
      <w:r w:rsidR="004D375F">
        <w:rPr>
          <w:lang w:val="en-US"/>
        </w:rPr>
        <w:fldChar w:fldCharType="separate"/>
      </w:r>
      <w:r w:rsidR="004D375F">
        <w:rPr>
          <w:noProof/>
          <w:lang w:val="en-US"/>
        </w:rPr>
        <w:t>(2017)</w:t>
      </w:r>
      <w:r w:rsidR="004D375F">
        <w:rPr>
          <w:lang w:val="en-US"/>
        </w:rPr>
        <w:fldChar w:fldCharType="end"/>
      </w:r>
      <w:r w:rsidRPr="00D76BBA">
        <w:rPr>
          <w:lang w:val="en-US"/>
        </w:rPr>
        <w:t xml:space="preserve"> found that regular (&gt;3x/week) use of non-prescribed BZD was associated with history or regular cocaine use and history of benzodiazepine prescription. </w:t>
      </w:r>
    </w:p>
    <w:p w14:paraId="7EB48435" w14:textId="0D461113" w:rsidR="00D76BBA" w:rsidRPr="00D76BBA" w:rsidRDefault="00D76BBA" w:rsidP="00571A01">
      <w:pPr>
        <w:spacing w:before="0" w:line="480" w:lineRule="auto"/>
        <w:ind w:firstLine="720"/>
        <w:contextualSpacing/>
        <w:rPr>
          <w:lang w:val="en-US"/>
        </w:rPr>
      </w:pPr>
      <w:r w:rsidRPr="00D76BBA">
        <w:rPr>
          <w:lang w:val="en-US"/>
        </w:rPr>
        <w:t xml:space="preserve">Less is known about factors associated with daily use of BZDs and opioids together, </w:t>
      </w:r>
      <w:r w:rsidR="00184C71" w:rsidRPr="00D76BBA">
        <w:rPr>
          <w:lang w:val="en-US"/>
        </w:rPr>
        <w:t>i.e.,</w:t>
      </w:r>
      <w:r w:rsidRPr="00D76BBA">
        <w:rPr>
          <w:lang w:val="en-US"/>
        </w:rPr>
        <w:t xml:space="preserve"> “co-use”. Although there is no standardized definition of “co-use,” criteria typically involve using the two substances closely in time such that the two have overlapping physiological effects. Cropsey et al</w:t>
      </w:r>
      <w:r w:rsidR="004D375F">
        <w:rPr>
          <w:lang w:val="en-US"/>
        </w:rPr>
        <w:t>.</w:t>
      </w:r>
      <w:r w:rsidRPr="00D76BBA">
        <w:rPr>
          <w:lang w:val="en-US"/>
        </w:rPr>
        <w:t xml:space="preserve"> </w:t>
      </w:r>
      <w:r w:rsidR="004D375F">
        <w:rPr>
          <w:lang w:val="en-US"/>
        </w:rPr>
        <w:fldChar w:fldCharType="begin"/>
      </w:r>
      <w:r w:rsidR="004D375F">
        <w:rPr>
          <w:lang w:val="en-US"/>
        </w:rPr>
        <w:instrText xml:space="preserve"> ADDIN ZOTERO_ITEM CSL_CITATION {"citationID":"dJzWPdG7","properties":{"formattedCitation":"(2015)","plainCitation":"(2015)","noteIndex":0},"citationItems":[{"id":153,"uris":["http://zotero.org/users/5293367/items/MCFFNF5K"],"itemData":{"id":153,"type":"article-journal","abstract":"Background\nThe use of heroin and prescription opioids has increased over the past decade. The concurrent use of opioids with other depressants such as benzodiazepines increases the risk of overdose death compared with use of either drug alone. This study examined factors associated with concurrent use of opioids and benzodiazepines in a criminal justice sample in the state of Alabama.\nMethods\nThe Addiction Severity Index (ASI) and urine drug screen results from 28,570 individuals who were under community corrections supervision from 2002–2012 were examined for independent or concurrent opioid and benzodiazepine use. Multinomial logistic regression analyses were conducted to determine associations between socio-demographic characteristics and drug use.\nResults\nConcurrent use was detected in 11.5% of the sample. Concurrent use of opioids and benzodiazepines or use of either drug alone was associated with being White, female, married, prescribed psychiatric medications, having seen a physician in the past two years, cannabis use, and having a drug-related offense. Concurrent users were more likely to be unemployed or disabled and have received counseling, and less likely to have completed college, live with relatives or friends, have a history of hallucinations, or have an offense against a person relative to nonusers.\nDiscussion\nWhile significant overlap of risk factors exists between individuals with concurrent use versus sole use of opioids or benzodiazepines, individuals with concurrent use generally have more social dysfunction than individuals who tested for either substance alone. Concurrent users may need more psychosocial resources and intensive treatments to promote recovery.","container-title":"Drug and Alcohol Dependence","DOI":"10.1016/j.drugalcdep.2015.06.038","ISSN":"0376-8716","journalAbbreviation":"Drug and Alcohol Dependence","language":"en","page":"152-157","source":"ScienceDirect","title":"Risk factors for concurrent use of benzodiazepines and opioids among individuals under community corrections supervision","volume":"154","author":[{"family":"Cropsey","given":"Karen L."},{"family":"Stevens","given":"Erin N."},{"family":"Valera","given":"Pamela"},{"family":"Brendan Clark","given":"C."},{"family":"Bulls","given":"Hailey W."},{"family":"Nair","given":"Parvathy"},{"family":"Lane","given":"Peter S."}],"issued":{"date-parts":[["2015",9,1]]}},"suppress-author":true}],"schema":"https://github.com/citation-style-language/schema/raw/master/csl-citation.json"} </w:instrText>
      </w:r>
      <w:r w:rsidR="004D375F">
        <w:rPr>
          <w:lang w:val="en-US"/>
        </w:rPr>
        <w:fldChar w:fldCharType="separate"/>
      </w:r>
      <w:r w:rsidR="004D375F">
        <w:rPr>
          <w:noProof/>
          <w:lang w:val="en-US"/>
        </w:rPr>
        <w:t>(2015)</w:t>
      </w:r>
      <w:r w:rsidR="004D375F">
        <w:rPr>
          <w:lang w:val="en-US"/>
        </w:rPr>
        <w:fldChar w:fldCharType="end"/>
      </w:r>
      <w:r w:rsidRPr="00D76BBA">
        <w:rPr>
          <w:lang w:val="en-US"/>
        </w:rPr>
        <w:t xml:space="preserve"> used urine toxicology screens to identify BZD and opioid co-use among a cohort of incarcerated individuals, and found that being white, female, unemployed, with a </w:t>
      </w:r>
      <w:r w:rsidRPr="00D76BBA">
        <w:rPr>
          <w:lang w:val="en-US"/>
        </w:rPr>
        <w:lastRenderedPageBreak/>
        <w:t xml:space="preserve">history of being prescribed psychiatric medications, having seen a physician in the past two years, or past diagnosis of cannabis or cocaine use disorder were all associated with co-use. </w:t>
      </w:r>
    </w:p>
    <w:p w14:paraId="649F4E1E" w14:textId="12D359DE" w:rsidR="00A8220D" w:rsidRPr="00416657" w:rsidRDefault="00D76BBA" w:rsidP="00D76BBA">
      <w:pPr>
        <w:spacing w:before="0" w:line="480" w:lineRule="auto"/>
        <w:ind w:firstLine="720"/>
        <w:contextualSpacing/>
        <w:rPr>
          <w:lang w:val="en-US"/>
        </w:rPr>
      </w:pPr>
      <w:r w:rsidRPr="00D76BBA">
        <w:rPr>
          <w:lang w:val="en-US"/>
        </w:rPr>
        <w:t>The aim of this study was to evaluate factors associated with co-use among PWUO who also have a prescription for BZD</w:t>
      </w:r>
      <w:r w:rsidR="007359A7">
        <w:rPr>
          <w:lang w:val="en-US"/>
        </w:rPr>
        <w:t>/</w:t>
      </w:r>
      <w:r w:rsidRPr="00D76BBA">
        <w:rPr>
          <w:lang w:val="en-US"/>
        </w:rPr>
        <w:t xml:space="preserve">TRQ. These </w:t>
      </w:r>
      <w:proofErr w:type="gramStart"/>
      <w:r w:rsidRPr="00D76BBA">
        <w:rPr>
          <w:lang w:val="en-US"/>
        </w:rPr>
        <w:t>individuals</w:t>
      </w:r>
      <w:proofErr w:type="gramEnd"/>
      <w:r w:rsidRPr="00D76BBA">
        <w:rPr>
          <w:lang w:val="en-US"/>
        </w:rPr>
        <w:t xml:space="preserve"> makeup a unique population of people who use drugs</w:t>
      </w:r>
      <w:r w:rsidR="007359A7">
        <w:rPr>
          <w:lang w:val="en-US"/>
        </w:rPr>
        <w:t xml:space="preserve"> </w:t>
      </w:r>
      <w:r w:rsidRPr="00D76BBA">
        <w:rPr>
          <w:lang w:val="en-US"/>
        </w:rPr>
        <w:t xml:space="preserve">who interface with the healthcare system to obtain prescription medications. This paper explores factors associated with </w:t>
      </w:r>
      <w:r w:rsidR="00A54945">
        <w:rPr>
          <w:lang w:val="en-US"/>
        </w:rPr>
        <w:t xml:space="preserve">daily </w:t>
      </w:r>
      <w:r w:rsidRPr="00D76BBA">
        <w:rPr>
          <w:lang w:val="en-US"/>
        </w:rPr>
        <w:t>co-use of opioids (both non-prescribed and prescribed) and prescribed BZD/TRQ among a sample of PWUO in an urban and suburban context.</w:t>
      </w:r>
    </w:p>
    <w:p w14:paraId="4E84CD75" w14:textId="32CBF687" w:rsidR="00A8220D" w:rsidRPr="00416657" w:rsidRDefault="00CB1F88" w:rsidP="004C3F13">
      <w:pPr>
        <w:spacing w:before="0" w:line="480" w:lineRule="auto"/>
        <w:contextualSpacing/>
        <w:jc w:val="center"/>
        <w:rPr>
          <w:b/>
          <w:lang w:val="en-US"/>
        </w:rPr>
      </w:pPr>
      <w:r>
        <w:rPr>
          <w:b/>
          <w:lang w:val="en-US"/>
        </w:rPr>
        <w:t xml:space="preserve">2. </w:t>
      </w:r>
      <w:r w:rsidR="00A8220D" w:rsidRPr="00416657">
        <w:rPr>
          <w:b/>
          <w:lang w:val="en-US"/>
        </w:rPr>
        <w:t>Methods</w:t>
      </w:r>
    </w:p>
    <w:p w14:paraId="71326B64" w14:textId="6ECA36E2" w:rsidR="00571A01" w:rsidRPr="002B2EC9" w:rsidRDefault="00571A01" w:rsidP="00571A01">
      <w:pPr>
        <w:spacing w:before="0" w:line="480" w:lineRule="auto"/>
        <w:contextualSpacing/>
        <w:rPr>
          <w:b/>
          <w:u w:val="single"/>
          <w:lang w:val="en-US"/>
        </w:rPr>
      </w:pPr>
      <w:r w:rsidRPr="002B2EC9">
        <w:rPr>
          <w:b/>
          <w:u w:val="single"/>
          <w:lang w:val="en-US"/>
        </w:rPr>
        <w:t>2.1 Participants</w:t>
      </w:r>
    </w:p>
    <w:p w14:paraId="08155B81" w14:textId="125BB677" w:rsidR="00571A01" w:rsidRPr="00571A01" w:rsidRDefault="00571A01" w:rsidP="00546663">
      <w:pPr>
        <w:spacing w:before="0" w:line="480" w:lineRule="auto"/>
        <w:ind w:firstLine="720"/>
        <w:contextualSpacing/>
        <w:rPr>
          <w:bCs/>
          <w:lang w:val="en-US"/>
        </w:rPr>
      </w:pPr>
      <w:r w:rsidRPr="00571A01">
        <w:rPr>
          <w:bCs/>
          <w:lang w:val="en-US"/>
        </w:rPr>
        <w:t xml:space="preserve">The study sample came from The Peer harm Reduction of Maryland Outreach Tiered Evaluation (PROMOTE), a mixed-methods, cross-sectional study of people who use drugs (PWUD) in Baltimore City (BC), Maryland and neighboring Anne Arundel County (AAC), Maryland. As has been previously described </w:t>
      </w:r>
      <w:r w:rsidR="00FE1814">
        <w:rPr>
          <w:bCs/>
          <w:lang w:val="en-US"/>
        </w:rPr>
        <w:fldChar w:fldCharType="begin"/>
      </w:r>
      <w:r w:rsidR="00A61867">
        <w:rPr>
          <w:bCs/>
          <w:lang w:val="en-US"/>
        </w:rPr>
        <w:instrText xml:space="preserve"> ADDIN ZOTERO_ITEM CSL_CITATION {"citationID":"TA2bT7Gc","properties":{"formattedCitation":"(Schneider et al., 2021)","plainCitation":"(Schneider et al., 2021)","noteIndex":0},"citationItems":[{"id":245,"uris":["http://zotero.org/users/5293367/items/AZKFNGPC"],"itemData":{"id":245,"type":"article-journal","abstract":"BACKGROUND: Naloxone distribution programs have been a cornerstone of the public health response to the overdose crisis in the USA. Yet people who use opioids (PWUO) continue to face a number of barriers accessing naloxone, including not knowing where it is available.\nMETHODS: We used data from 173 PWUO from Anne Arundel County, Maryland, which is located between Baltimore City and Washington, DC. We assessed the prevalence of recently (past 6 months) receiving naloxone and currently having naloxone, the type(s) of the naloxone kits received, and the perceived ease/difficultly of accessing naloxone. We also assessed participants knowledge of where naloxone was available in the community.\nRESULTS: One third (35.7%) of participants had recently received naloxone. Most who had received naloxone received two doses (72.1%), nasal naloxone (86.9%), and education about naloxone use (72.1%). Most currently had naloxone in their possession (either on their person or at home; 78.7%). One third (34.4%) believed naloxone was difficult to obtain in their community. Only half (56.7%) knew of multiple locations where they could get naloxone. The health department was the most commonly identified naloxone source (58.0%). Identifying multiple sources of naloxone was associated with being more likely to perceive that naloxone is easy to access.\nDISCUSSION: Our results suggest that additional public health efforts are needed to make PWUO aware of the range of sources of naloxone in their communities in order to ensure easy and continued naloxone access to PWUO.","container-title":"Harm Reduction Journal","DOI":"10.1186/s12954-021-00466-8","ISSN":"1477-7517","issue":"1","journalAbbreviation":"Harm Reduct J","language":"eng","note":"PMID: 33910565\nPMCID: PMC8080996","page":"47","source":"PubMed","title":"Practical implications of naloxone knowledge among suburban people who use opioids","volume":"18","author":[{"family":"Schneider","given":"Kristin E."},{"family":"Urquhart","given":"Glenna J."},{"family":"Rouhani","given":"Saba"},{"family":"Park","given":"Ju Nyeong"},{"family":"Morris","given":"Miles"},{"family":"Allen","given":"Sean T."},{"family":"Sherman","given":"Susan G."}],"issued":{"date-parts":[["2021",4,28]]}}}],"schema":"https://github.com/citation-style-language/schema/raw/master/csl-citation.json"} </w:instrText>
      </w:r>
      <w:r w:rsidR="00FE1814">
        <w:rPr>
          <w:bCs/>
          <w:lang w:val="en-US"/>
        </w:rPr>
        <w:fldChar w:fldCharType="separate"/>
      </w:r>
      <w:r w:rsidR="00A61867">
        <w:rPr>
          <w:bCs/>
          <w:noProof/>
          <w:lang w:val="en-US"/>
        </w:rPr>
        <w:t>(Schneider et al., 2021)</w:t>
      </w:r>
      <w:r w:rsidR="00FE1814">
        <w:rPr>
          <w:bCs/>
          <w:lang w:val="en-US"/>
        </w:rPr>
        <w:fldChar w:fldCharType="end"/>
      </w:r>
      <w:r w:rsidR="00FE1814">
        <w:rPr>
          <w:bCs/>
          <w:lang w:val="en-US"/>
        </w:rPr>
        <w:t xml:space="preserve">, </w:t>
      </w:r>
      <w:r w:rsidRPr="00571A01">
        <w:rPr>
          <w:bCs/>
          <w:lang w:val="en-US"/>
        </w:rPr>
        <w:t>Anne Arundel County is formally considered part of Baltimore City’s metropolitan statistical area but is best characterized as suburban due to its substantially lower population density (1296/mile in Anne Arundel, 7672/mile in Baltimore City</w:t>
      </w:r>
      <w:r w:rsidR="00546663">
        <w:rPr>
          <w:bCs/>
          <w:lang w:val="en-US"/>
        </w:rPr>
        <w:t xml:space="preserve">) </w:t>
      </w:r>
      <w:r w:rsidR="00546663">
        <w:rPr>
          <w:bCs/>
          <w:lang w:val="en-US"/>
        </w:rPr>
        <w:fldChar w:fldCharType="begin"/>
      </w:r>
      <w:r w:rsidR="00D76628">
        <w:rPr>
          <w:bCs/>
          <w:lang w:val="en-US"/>
        </w:rPr>
        <w:instrText xml:space="preserve"> ADDIN ZOTERO_ITEM CSL_CITATION {"citationID":"pMap6HjO","properties":{"formattedCitation":"(United States Census Bureau, 2019)","plainCitation":"(United States Census Bureau, 2019)","dontUpdate":true,"noteIndex":0},"citationItems":[{"id":247,"uris":["http://zotero.org/users/5293367/items/IVJ53KEI"],"itemData":{"id":247,"type":"webpage","language":"en-us","title":"QuickFacts Baltimore City, Maryland 2019","URL":"https://www.census.gov/quickfacts/baltimorecitymaryland.","author":[{"family":"United States Census Bureau","given":""}],"accessed":{"date-parts":[["2022",4,7]]},"issued":{"date-parts":[["2019"]]}}}],"schema":"https://github.com/citation-style-language/schema/raw/master/csl-citation.json"} </w:instrText>
      </w:r>
      <w:r w:rsidR="00000000">
        <w:rPr>
          <w:bCs/>
          <w:lang w:val="en-US"/>
        </w:rPr>
        <w:fldChar w:fldCharType="separate"/>
      </w:r>
      <w:r w:rsidR="00546663">
        <w:rPr>
          <w:bCs/>
          <w:lang w:val="en-US"/>
        </w:rPr>
        <w:fldChar w:fldCharType="end"/>
      </w:r>
      <w:r w:rsidR="00546663">
        <w:rPr>
          <w:bCs/>
          <w:lang w:val="en-US"/>
        </w:rPr>
        <w:t xml:space="preserve"> </w:t>
      </w:r>
      <w:r w:rsidR="00546663">
        <w:rPr>
          <w:bCs/>
          <w:lang w:val="en-US"/>
        </w:rPr>
        <w:fldChar w:fldCharType="begin"/>
      </w:r>
      <w:r w:rsidR="00D76628">
        <w:rPr>
          <w:bCs/>
          <w:lang w:val="en-US"/>
        </w:rPr>
        <w:instrText xml:space="preserve"> ADDIN ZOTERO_ITEM CSL_CITATION {"citationID":"COrLeqAv","properties":{"formattedCitation":"(United States Census Bureau, 2019, 2019)","plainCitation":"(United States Census Bureau, 2019, 2019)","dontUpdate":true,"noteIndex":0},"citationItems":[{"id":247,"uris":["http://zotero.org/users/5293367/items/IVJ53KEI"],"itemData":{"id":247,"type":"webpage","language":"en-us","title":"QuickFacts Baltimore City, Maryland 2019","URL":"https://www.census.gov/quickfacts/baltimorecitymaryland.","author":[{"family":"United States Census Bureau","given":""}],"accessed":{"date-parts":[["2022",4,7]]},"issued":{"date-parts":[["2019"]]}}},{"id":248,"uris":["http://zotero.org/users/5293367/items/YQXKS7KD"],"itemData":{"id":248,"type":"webpage","language":"en-us","title":"QuickFacts Anne Arundel County 2019","URL":"https://www.census.gov/quickfacts/annearundelcountymaryland","author":[{"family":"United States Census Bureau","given":""}],"accessed":{"date-parts":[["2022",4,7]]},"issued":{"date-parts":[["2019"]]}}}],"schema":"https://github.com/citation-style-language/schema/raw/master/csl-citation.json"} </w:instrText>
      </w:r>
      <w:r w:rsidR="00546663">
        <w:rPr>
          <w:bCs/>
          <w:lang w:val="en-US"/>
        </w:rPr>
        <w:fldChar w:fldCharType="separate"/>
      </w:r>
      <w:r w:rsidR="00546663">
        <w:rPr>
          <w:bCs/>
          <w:noProof/>
          <w:lang w:val="en-US"/>
        </w:rPr>
        <w:t>(United States Census Bureau, 2019)</w:t>
      </w:r>
      <w:r w:rsidR="00546663">
        <w:rPr>
          <w:bCs/>
          <w:lang w:val="en-US"/>
        </w:rPr>
        <w:fldChar w:fldCharType="end"/>
      </w:r>
      <w:r w:rsidR="00546663">
        <w:rPr>
          <w:bCs/>
          <w:lang w:val="en-US"/>
        </w:rPr>
        <w:t xml:space="preserve">. </w:t>
      </w:r>
      <w:r w:rsidRPr="004D375F">
        <w:rPr>
          <w:bCs/>
          <w:lang w:val="en-US"/>
        </w:rPr>
        <w:t>It is situated between Baltimore City, MD, and Washington D.C., and contains Maryland’s capital, Annapolis.</w:t>
      </w:r>
      <w:r w:rsidRPr="00571A01">
        <w:rPr>
          <w:bCs/>
          <w:lang w:val="en-US"/>
        </w:rPr>
        <w:t xml:space="preserve"> </w:t>
      </w:r>
    </w:p>
    <w:p w14:paraId="3A2AC768" w14:textId="192412B4" w:rsidR="00571A01" w:rsidRPr="00571A01" w:rsidRDefault="00571A01" w:rsidP="00571A01">
      <w:pPr>
        <w:spacing w:before="0" w:line="480" w:lineRule="auto"/>
        <w:ind w:firstLine="720"/>
        <w:contextualSpacing/>
        <w:rPr>
          <w:bCs/>
          <w:lang w:val="en-US"/>
        </w:rPr>
      </w:pPr>
      <w:r w:rsidRPr="00571A01">
        <w:rPr>
          <w:bCs/>
          <w:lang w:val="en-US"/>
        </w:rPr>
        <w:t xml:space="preserve">Participants were recruited from street-based locations identified using geospatial analyses of drug-related arrest data and/or fatal and non-fatal overdose data. Baltimore arrest data was obtained through the city’s “Open Baltimore” data repository. In Anne Arundel County and Annapolis, local police departments provided arrest and fatal/non-fatal overdose data for their respective locations. For context, Annapolis resides within Anne Arundel County; the county and </w:t>
      </w:r>
      <w:r w:rsidRPr="00571A01">
        <w:rPr>
          <w:bCs/>
          <w:lang w:val="en-US"/>
        </w:rPr>
        <w:lastRenderedPageBreak/>
        <w:t>Annapolis [city proper] have distinct police departments, thus the need for both during spatial analyses of these locations.</w:t>
      </w:r>
    </w:p>
    <w:p w14:paraId="645AAF9E" w14:textId="5BFB6E93" w:rsidR="00571A01" w:rsidRPr="00571A01" w:rsidRDefault="00571A01" w:rsidP="00571A01">
      <w:pPr>
        <w:spacing w:before="0" w:line="480" w:lineRule="auto"/>
        <w:ind w:firstLine="720"/>
        <w:contextualSpacing/>
        <w:rPr>
          <w:bCs/>
          <w:lang w:val="en-US"/>
        </w:rPr>
      </w:pPr>
      <w:r w:rsidRPr="00571A01">
        <w:rPr>
          <w:bCs/>
          <w:lang w:val="en-US"/>
        </w:rPr>
        <w:t xml:space="preserve">Heat maps were developed using ArcMap 10.4.1 and geographical locations with possible drug-related activities were identified. Time signatures associated with arrests in each area were extracted to develop a sampling frame that consisted of venue-day-time units (geographical location, day of the week, four-hour periods), as described previously </w:t>
      </w:r>
      <w:r w:rsidR="0067226F">
        <w:rPr>
          <w:bCs/>
          <w:lang w:val="en-US"/>
        </w:rPr>
        <w:fldChar w:fldCharType="begin"/>
      </w:r>
      <w:r w:rsidR="0067226F">
        <w:rPr>
          <w:bCs/>
          <w:lang w:val="en-US"/>
        </w:rPr>
        <w:instrText xml:space="preserve"> ADDIN ZOTERO_ITEM CSL_CITATION {"citationID":"MFaoaLit","properties":{"formattedCitation":"(Rouhani et al., 2021; Tomko et al., 2022)","plainCitation":"(Rouhani et al., 2021; Tomko et al., 2022)","noteIndex":0},"citationItems":[{"id":204,"uris":["http://zotero.org/users/5293367/items/IFDMDP52"],"itemData":{"id":204,"type":"article-journal","container-title":"International Journal of Drug Policy","DOI":"10.1016/j.drugpo.2021.103426","ISSN":"0955-3959","journalAbbreviation":"The International journal on drug policy","language":"English (US)","note":"publisher: Elsevier\nPMID: 34461411","page":"103426","source":"jhu.pure.elsevier.com","title":"Perceived vulnerability to overdose-related arrests among people who use drugs in Maryland","volume":"98","author":[{"family":"Rouhani","given":"Saba"},{"family":"Schneider","given":"Kristin E."},{"family":"Rao","given":"Anjana"},{"family":"Urquhart","given":"Glenna J."},{"family":"Morris","given":"Miles"},{"family":"LaSalle","given":"Lindsay"},{"family":"Sherman","given":"Susan G."}],"issued":{"date-parts":[["2021",12]]}}},{"id":207,"uris":["http://zotero.org/users/5293367/items/Y7RZJQHI"],"itemData":{"id":207,"type":"article-journal","container-title":"Addictive Behaviors","DOI":"10.1016/j.addbeh.2021.107215","ISSN":"0306-4603","journalAbbreviation":"ADDICT.BEHAV.","language":"English (US)","note":"publisher: Elsevier Limited\nPMID: 34953432","page":"107215","source":"jhu.pure.elsevier.com","title":"Identifying pathways to recent non-fatal overdose among people who use opioids non-medically: How do psychological pain and unmet mental health need contribute to overdose risk?","title-short":"Identifying pathways to recent non-fatal overdose among people who use opioids non-medically","volume":"127","author":[{"family":"Tomko","given":"Catherine"},{"family":"Schneider","given":"Kristin E."},{"family":"Rouhani","given":"Saba"},{"family":"Urquhart","given":"Glenna J."},{"family":"Park","given":"Ju Nyeong"},{"family":"Morris","given":"Miles"},{"family":"Sherman","given":"Susan G."}],"issued":{"date-parts":[["2022",4]]}}}],"schema":"https://github.com/citation-style-language/schema/raw/master/csl-citation.json"} </w:instrText>
      </w:r>
      <w:r w:rsidR="0067226F">
        <w:rPr>
          <w:bCs/>
          <w:lang w:val="en-US"/>
        </w:rPr>
        <w:fldChar w:fldCharType="separate"/>
      </w:r>
      <w:r w:rsidR="0067226F">
        <w:rPr>
          <w:bCs/>
          <w:noProof/>
          <w:lang w:val="en-US"/>
        </w:rPr>
        <w:t>(Rouhani et al., 2021; Tomko et al., 2022)</w:t>
      </w:r>
      <w:r w:rsidR="0067226F">
        <w:rPr>
          <w:bCs/>
          <w:lang w:val="en-US"/>
        </w:rPr>
        <w:fldChar w:fldCharType="end"/>
      </w:r>
      <w:r w:rsidR="0067226F">
        <w:rPr>
          <w:bCs/>
          <w:lang w:val="en-US"/>
        </w:rPr>
        <w:t>.</w:t>
      </w:r>
      <w:r w:rsidRPr="00571A01">
        <w:rPr>
          <w:bCs/>
          <w:lang w:val="en-US"/>
        </w:rPr>
        <w:t xml:space="preserve"> Recruitment occurred in three distinct waves</w:t>
      </w:r>
      <w:r w:rsidR="003C4B9F">
        <w:rPr>
          <w:bCs/>
          <w:lang w:val="en-US"/>
        </w:rPr>
        <w:t>, in different locations</w:t>
      </w:r>
      <w:r w:rsidRPr="00571A01">
        <w:rPr>
          <w:bCs/>
          <w:lang w:val="en-US"/>
        </w:rPr>
        <w:t xml:space="preserve">: BC </w:t>
      </w:r>
      <w:r w:rsidR="003C4B9F">
        <w:rPr>
          <w:bCs/>
          <w:lang w:val="en-US"/>
        </w:rPr>
        <w:t xml:space="preserve">(Baltimore City) </w:t>
      </w:r>
      <w:r w:rsidRPr="00571A01">
        <w:rPr>
          <w:bCs/>
          <w:lang w:val="en-US"/>
        </w:rPr>
        <w:t xml:space="preserve">participants were recruited from 15 zones from July </w:t>
      </w:r>
      <w:r w:rsidR="00A54945">
        <w:rPr>
          <w:bCs/>
          <w:lang w:val="en-US"/>
        </w:rPr>
        <w:t>–</w:t>
      </w:r>
      <w:r w:rsidRPr="00571A01">
        <w:rPr>
          <w:bCs/>
          <w:lang w:val="en-US"/>
        </w:rPr>
        <w:t xml:space="preserve"> October 2018 (Wave 1, N=274) and April – July 2019 (Wave 2, N=291) and AAC</w:t>
      </w:r>
      <w:r w:rsidR="003C4B9F">
        <w:rPr>
          <w:bCs/>
          <w:lang w:val="en-US"/>
        </w:rPr>
        <w:t xml:space="preserve"> (Anne Arundel County) </w:t>
      </w:r>
      <w:r w:rsidRPr="00571A01">
        <w:rPr>
          <w:bCs/>
          <w:lang w:val="en-US"/>
        </w:rPr>
        <w:t xml:space="preserve"> participants were recruited from seven zones from November 2019 – March 2020 (Wave 3, N=173; data collection activities were stopped prematurely due to the COVID-19 pandemic). </w:t>
      </w:r>
    </w:p>
    <w:p w14:paraId="333B82CA" w14:textId="20EA4622" w:rsidR="00571A01" w:rsidRPr="00571A01" w:rsidRDefault="00571A01" w:rsidP="002B2EC9">
      <w:pPr>
        <w:spacing w:before="0" w:line="480" w:lineRule="auto"/>
        <w:ind w:firstLine="720"/>
        <w:contextualSpacing/>
        <w:rPr>
          <w:bCs/>
          <w:lang w:val="en-US"/>
        </w:rPr>
      </w:pPr>
      <w:r w:rsidRPr="00571A01">
        <w:rPr>
          <w:bCs/>
          <w:lang w:val="en-US"/>
        </w:rPr>
        <w:t>Interested individuals approached the study van or encountered study staff on the street and were screened for eligibility on the study van. In BC, eligibility criteria included age 18+ and use of non-prescription opioids within the past month. In AAC, eligibility criteria included age 18+ and use of non-prescription opioids within the past six months. After providing informed consent, eligible participants completed a 30-minute Audio Computer-Assisted Self-Interview (ACASI) on a tablet with a trained interviewer present to answer participant questions. Following the interview, participants were compensated with a $25 VISA</w:t>
      </w:r>
      <w:r w:rsidR="00A54945" w:rsidRPr="00571A01">
        <w:rPr>
          <w:bCs/>
          <w:lang w:val="en-US"/>
        </w:rPr>
        <w:t xml:space="preserve"> </w:t>
      </w:r>
      <w:r w:rsidRPr="00571A01">
        <w:rPr>
          <w:bCs/>
          <w:lang w:val="en-US"/>
        </w:rPr>
        <w:t xml:space="preserve">gift card. This </w:t>
      </w:r>
      <w:proofErr w:type="spellStart"/>
      <w:r w:rsidRPr="00571A01">
        <w:rPr>
          <w:bCs/>
          <w:lang w:val="en-US"/>
        </w:rPr>
        <w:t>stu</w:t>
      </w:r>
      <w:proofErr w:type="spellEnd"/>
      <w:r w:rsidR="00FD54F0">
        <w:rPr>
          <w:bCs/>
          <w:lang w:val="en-US"/>
        </w:rPr>
        <w:t xml:space="preserve"> </w:t>
      </w:r>
      <w:proofErr w:type="spellStart"/>
      <w:r w:rsidRPr="00571A01">
        <w:rPr>
          <w:bCs/>
          <w:lang w:val="en-US"/>
        </w:rPr>
        <w:t>dy</w:t>
      </w:r>
      <w:proofErr w:type="spellEnd"/>
      <w:r w:rsidRPr="00571A01">
        <w:rPr>
          <w:bCs/>
          <w:lang w:val="en-US"/>
        </w:rPr>
        <w:t xml:space="preserve"> received ethical approval by the Johns Hopkins Bloomberg School of Public Health Institutional Review Board.  </w:t>
      </w:r>
    </w:p>
    <w:p w14:paraId="05E49EB4" w14:textId="6F545851" w:rsidR="00571A01" w:rsidRPr="00571A01" w:rsidRDefault="00571A01" w:rsidP="00CB1F88">
      <w:pPr>
        <w:spacing w:before="0" w:line="480" w:lineRule="auto"/>
        <w:ind w:firstLine="720"/>
        <w:contextualSpacing/>
        <w:rPr>
          <w:bCs/>
          <w:lang w:val="en-US"/>
        </w:rPr>
      </w:pPr>
      <w:r w:rsidRPr="00571A01">
        <w:rPr>
          <w:bCs/>
          <w:lang w:val="en-US"/>
        </w:rPr>
        <w:t xml:space="preserve">To compare BC and AAC participants, we created a merged dataset and used screener variables to manually limit the AAC sample to only those participants who used non-prescription opioids within the past month (n=149). This analysis was limited to participants from BC Wave 2 and AAC as questions on benzodiazepine/tranquilizer use were not asked in BC Wave 1. Our </w:t>
      </w:r>
      <w:r w:rsidRPr="00571A01">
        <w:rPr>
          <w:bCs/>
          <w:lang w:val="en-US"/>
        </w:rPr>
        <w:lastRenderedPageBreak/>
        <w:t>final analytic sample included N=417 participants with complete data on the outcome measure and included covariates (n=281 BC Wave 2, n=136 AAC).</w:t>
      </w:r>
    </w:p>
    <w:p w14:paraId="2EA914E4" w14:textId="77777777" w:rsidR="00571A01" w:rsidRPr="00571A01" w:rsidRDefault="00571A01" w:rsidP="00571A01">
      <w:pPr>
        <w:spacing w:before="0" w:line="480" w:lineRule="auto"/>
        <w:contextualSpacing/>
        <w:rPr>
          <w:b/>
          <w:u w:val="single"/>
          <w:lang w:val="en-US"/>
        </w:rPr>
      </w:pPr>
      <w:r w:rsidRPr="00571A01">
        <w:rPr>
          <w:b/>
          <w:u w:val="single"/>
          <w:lang w:val="en-US"/>
        </w:rPr>
        <w:t>2.2 Measures</w:t>
      </w:r>
    </w:p>
    <w:p w14:paraId="0A5E8069" w14:textId="2420768B" w:rsidR="002B2EC9" w:rsidRDefault="00E708BF" w:rsidP="00571A01">
      <w:pPr>
        <w:spacing w:before="0" w:line="480" w:lineRule="auto"/>
        <w:contextualSpacing/>
        <w:rPr>
          <w:bCs/>
          <w:lang w:val="en-US"/>
        </w:rPr>
      </w:pPr>
      <w:r>
        <w:rPr>
          <w:bCs/>
          <w:i/>
          <w:iCs/>
          <w:lang w:val="en-US"/>
        </w:rPr>
        <w:t xml:space="preserve">2.2.1 </w:t>
      </w:r>
      <w:r w:rsidR="00571A01" w:rsidRPr="002B2EC9">
        <w:rPr>
          <w:bCs/>
          <w:i/>
          <w:iCs/>
          <w:lang w:val="en-US"/>
        </w:rPr>
        <w:t>Outcome: benzodiazepine/tranquilizer &amp; opioid co-use</w:t>
      </w:r>
      <w:r w:rsidR="002B2EC9" w:rsidRPr="002B2EC9">
        <w:rPr>
          <w:bCs/>
          <w:i/>
          <w:iCs/>
          <w:lang w:val="en-US"/>
        </w:rPr>
        <w:t>.</w:t>
      </w:r>
      <w:r w:rsidR="002B2EC9">
        <w:rPr>
          <w:bCs/>
          <w:lang w:val="en-US"/>
        </w:rPr>
        <w:t xml:space="preserve"> </w:t>
      </w:r>
    </w:p>
    <w:p w14:paraId="55218CC5" w14:textId="16C3CEAF" w:rsidR="002B2EC9" w:rsidRPr="00571A01" w:rsidRDefault="00571A01" w:rsidP="00571A01">
      <w:pPr>
        <w:spacing w:before="0" w:line="480" w:lineRule="auto"/>
        <w:contextualSpacing/>
        <w:rPr>
          <w:bCs/>
          <w:lang w:val="en-US"/>
        </w:rPr>
      </w:pPr>
      <w:r w:rsidRPr="00571A01">
        <w:rPr>
          <w:bCs/>
          <w:lang w:val="en-US"/>
        </w:rPr>
        <w:t xml:space="preserve">Participants reported substances used and frequency/method of use that was “recent”, </w:t>
      </w:r>
      <w:r w:rsidR="00184C71" w:rsidRPr="00571A01">
        <w:rPr>
          <w:bCs/>
          <w:lang w:val="en-US"/>
        </w:rPr>
        <w:t>i.e.,</w:t>
      </w:r>
      <w:r w:rsidRPr="00571A01">
        <w:rPr>
          <w:bCs/>
          <w:lang w:val="en-US"/>
        </w:rPr>
        <w:t xml:space="preserve"> within the past 3 months. Participants were not asked about concurrent use of BZD/TRQ and opioids; therefore, we defined co-use as </w:t>
      </w:r>
      <w:r w:rsidR="00A54945">
        <w:rPr>
          <w:bCs/>
          <w:lang w:val="en-US"/>
        </w:rPr>
        <w:t xml:space="preserve">the </w:t>
      </w:r>
      <w:r w:rsidRPr="00571A01">
        <w:rPr>
          <w:bCs/>
          <w:lang w:val="en-US"/>
        </w:rPr>
        <w:t xml:space="preserve">daily use of both BZD/TRQ prescribed by a medical provider and daily use of any opioid (heroin, fentanyl, opioid pills), either prescribed by a medical provider or used without a prescription. This will henceforth be referred to as “co-use.” </w:t>
      </w:r>
      <w:r w:rsidR="0014140B">
        <w:rPr>
          <w:bCs/>
          <w:lang w:val="en-US"/>
        </w:rPr>
        <w:t>If a participant use</w:t>
      </w:r>
      <w:r w:rsidR="00D013F4">
        <w:rPr>
          <w:bCs/>
          <w:lang w:val="en-US"/>
        </w:rPr>
        <w:t>d opioids or BZD/TRQ less frequently than daily (for example, a few times per week), they were coded as “no co-use.”</w:t>
      </w:r>
    </w:p>
    <w:p w14:paraId="0CAABEE8" w14:textId="4B03FAE3" w:rsidR="00571A01" w:rsidRPr="002B2EC9" w:rsidRDefault="00E708BF" w:rsidP="00571A01">
      <w:pPr>
        <w:spacing w:before="0" w:line="480" w:lineRule="auto"/>
        <w:contextualSpacing/>
        <w:rPr>
          <w:bCs/>
          <w:i/>
          <w:iCs/>
          <w:lang w:val="en-US"/>
        </w:rPr>
      </w:pPr>
      <w:r>
        <w:rPr>
          <w:bCs/>
          <w:i/>
          <w:iCs/>
          <w:lang w:val="en-US"/>
        </w:rPr>
        <w:t xml:space="preserve">2.2.2 </w:t>
      </w:r>
      <w:r w:rsidR="00571A01" w:rsidRPr="002B2EC9">
        <w:rPr>
          <w:bCs/>
          <w:i/>
          <w:iCs/>
          <w:lang w:val="en-US"/>
        </w:rPr>
        <w:t>Substance use &amp; overdose</w:t>
      </w:r>
    </w:p>
    <w:p w14:paraId="4A308418" w14:textId="70162BD2" w:rsidR="00571A01" w:rsidRPr="006D03AB" w:rsidRDefault="00571A01" w:rsidP="00571A01">
      <w:pPr>
        <w:spacing w:before="0" w:line="480" w:lineRule="auto"/>
        <w:contextualSpacing/>
        <w:rPr>
          <w:bCs/>
          <w:lang w:val="en-US"/>
        </w:rPr>
      </w:pPr>
      <w:r w:rsidRPr="00571A01">
        <w:rPr>
          <w:bCs/>
          <w:lang w:val="en-US"/>
        </w:rPr>
        <w:t xml:space="preserve">We created separate binary variables to indicate </w:t>
      </w:r>
      <w:r w:rsidR="00F741E8">
        <w:rPr>
          <w:bCs/>
          <w:lang w:val="en-US"/>
        </w:rPr>
        <w:t xml:space="preserve">past three months of </w:t>
      </w:r>
      <w:r w:rsidRPr="00571A01">
        <w:rPr>
          <w:bCs/>
          <w:lang w:val="en-US"/>
        </w:rPr>
        <w:t>daily use of cocaine, crack, and synthetic cannabinoids. We also constructed a binary variable to indicate recent injection vs. non-injection use of any drugs. Participants reported the frequency of their weekly alcohol consumption, which we analyzed dichotomously (4+ drinks per week vs. less</w:t>
      </w:r>
      <w:r w:rsidR="00043494">
        <w:rPr>
          <w:bCs/>
          <w:lang w:val="en-US"/>
        </w:rPr>
        <w:t xml:space="preserve"> or none</w:t>
      </w:r>
      <w:r w:rsidRPr="00571A01">
        <w:rPr>
          <w:bCs/>
          <w:lang w:val="en-US"/>
        </w:rPr>
        <w:t xml:space="preserve">). We constructed a binary variable to identify participants who had a recent overdose (within the past 3 months vs. less recent or never). </w:t>
      </w:r>
    </w:p>
    <w:p w14:paraId="4248788A" w14:textId="5785441F" w:rsidR="00571A01" w:rsidRPr="002B2EC9" w:rsidRDefault="00E708BF" w:rsidP="00571A01">
      <w:pPr>
        <w:spacing w:before="0" w:line="480" w:lineRule="auto"/>
        <w:contextualSpacing/>
        <w:rPr>
          <w:bCs/>
          <w:i/>
          <w:iCs/>
          <w:lang w:val="en-US"/>
        </w:rPr>
      </w:pPr>
      <w:r>
        <w:rPr>
          <w:bCs/>
          <w:i/>
          <w:iCs/>
          <w:lang w:val="en-US"/>
        </w:rPr>
        <w:t xml:space="preserve">2.2.3 </w:t>
      </w:r>
      <w:r w:rsidR="00571A01" w:rsidRPr="002B2EC9">
        <w:rPr>
          <w:bCs/>
          <w:i/>
          <w:iCs/>
          <w:lang w:val="en-US"/>
        </w:rPr>
        <w:t>Sociodemographic characteristics &amp; structural vulnerabilities</w:t>
      </w:r>
    </w:p>
    <w:p w14:paraId="0618EBEA" w14:textId="5A0C338A" w:rsidR="00571A01" w:rsidRPr="00571A01" w:rsidRDefault="00571A01" w:rsidP="00571A01">
      <w:pPr>
        <w:spacing w:before="0" w:line="480" w:lineRule="auto"/>
        <w:contextualSpacing/>
        <w:rPr>
          <w:bCs/>
          <w:lang w:val="en-US"/>
        </w:rPr>
      </w:pPr>
      <w:r w:rsidRPr="00571A01">
        <w:rPr>
          <w:bCs/>
          <w:lang w:val="en-US"/>
        </w:rPr>
        <w:t xml:space="preserve">Age was analyzed </w:t>
      </w:r>
      <w:r w:rsidR="00184C71" w:rsidRPr="00571A01">
        <w:rPr>
          <w:bCs/>
          <w:lang w:val="en-US"/>
        </w:rPr>
        <w:t>continuously,</w:t>
      </w:r>
      <w:r w:rsidRPr="00571A01">
        <w:rPr>
          <w:bCs/>
          <w:lang w:val="en-US"/>
        </w:rPr>
        <w:t xml:space="preserve"> and sex (male/female) was analyzed dichotomously. Participants reported their race/ethnicity by selecting all applicable options from a predetermined list; race/ethnicity was trichotomized for analysis (single race white, single race Black, Hispanic/Native American/multiracial). Educational attainment was captured categorically and analyzed dichotomously (did not complete high school/GED vs. higher educational attainment). </w:t>
      </w:r>
      <w:r w:rsidRPr="00571A01">
        <w:rPr>
          <w:bCs/>
          <w:lang w:val="en-US"/>
        </w:rPr>
        <w:lastRenderedPageBreak/>
        <w:t xml:space="preserve">Income source was analyzed dichotomously with a constructed variable comparing participants who reported full- or part-time legal employment as their primary income source to those who reported other primary income sources. </w:t>
      </w:r>
      <w:r w:rsidR="002D309B">
        <w:rPr>
          <w:bCs/>
          <w:lang w:val="en-US"/>
        </w:rPr>
        <w:t>Current</w:t>
      </w:r>
      <w:r w:rsidR="002D309B" w:rsidRPr="00571A01">
        <w:rPr>
          <w:bCs/>
          <w:lang w:val="en-US"/>
        </w:rPr>
        <w:t xml:space="preserve"> </w:t>
      </w:r>
      <w:r w:rsidRPr="00571A01">
        <w:rPr>
          <w:bCs/>
          <w:lang w:val="en-US"/>
        </w:rPr>
        <w:t xml:space="preserve">homelessness was analyzed dichotomously. </w:t>
      </w:r>
    </w:p>
    <w:p w14:paraId="051F2523" w14:textId="0A9DE6A8" w:rsidR="00571A01" w:rsidRPr="002B2EC9" w:rsidRDefault="00E708BF" w:rsidP="00571A01">
      <w:pPr>
        <w:spacing w:before="0" w:line="480" w:lineRule="auto"/>
        <w:contextualSpacing/>
        <w:rPr>
          <w:bCs/>
          <w:i/>
          <w:iCs/>
          <w:lang w:val="en-US"/>
        </w:rPr>
      </w:pPr>
      <w:r>
        <w:rPr>
          <w:bCs/>
          <w:i/>
          <w:iCs/>
          <w:lang w:val="en-US"/>
        </w:rPr>
        <w:t xml:space="preserve">2.2.4 </w:t>
      </w:r>
      <w:r w:rsidR="00571A01" w:rsidRPr="002B2EC9">
        <w:rPr>
          <w:bCs/>
          <w:i/>
          <w:iCs/>
          <w:lang w:val="en-US"/>
        </w:rPr>
        <w:t>Health care service access &amp; utilization</w:t>
      </w:r>
    </w:p>
    <w:p w14:paraId="380B0ED4" w14:textId="6484487F" w:rsidR="00571A01" w:rsidRPr="00571A01" w:rsidRDefault="00571A01" w:rsidP="00571A01">
      <w:pPr>
        <w:spacing w:before="0" w:line="480" w:lineRule="auto"/>
        <w:contextualSpacing/>
        <w:rPr>
          <w:bCs/>
          <w:lang w:val="en-US"/>
        </w:rPr>
      </w:pPr>
      <w:r w:rsidRPr="00571A01">
        <w:rPr>
          <w:bCs/>
          <w:lang w:val="en-US"/>
        </w:rPr>
        <w:t xml:space="preserve">Current health insurance coverage and </w:t>
      </w:r>
      <w:r w:rsidR="002D309B">
        <w:rPr>
          <w:bCs/>
          <w:lang w:val="en-US"/>
        </w:rPr>
        <w:t xml:space="preserve">past </w:t>
      </w:r>
      <w:r w:rsidR="006B711D">
        <w:rPr>
          <w:bCs/>
          <w:lang w:val="en-US"/>
        </w:rPr>
        <w:t>three-month</w:t>
      </w:r>
      <w:r w:rsidR="002D309B">
        <w:rPr>
          <w:bCs/>
          <w:lang w:val="en-US"/>
        </w:rPr>
        <w:t xml:space="preserve"> </w:t>
      </w:r>
      <w:r w:rsidRPr="00571A01">
        <w:rPr>
          <w:bCs/>
          <w:lang w:val="en-US"/>
        </w:rPr>
        <w:t xml:space="preserve">emergency department visits were captured and analyzed as a binary variable (yes/no). Participants indicated their most recent experience receiving mental health treatment, which we analyzed dichotomously (within the past 6 months vs. more than 6 months ago or never). </w:t>
      </w:r>
    </w:p>
    <w:p w14:paraId="1B44B17C" w14:textId="77777777" w:rsidR="00571A01" w:rsidRPr="002B2EC9" w:rsidRDefault="00571A01" w:rsidP="00571A01">
      <w:pPr>
        <w:spacing w:before="0" w:line="480" w:lineRule="auto"/>
        <w:contextualSpacing/>
        <w:rPr>
          <w:b/>
          <w:u w:val="single"/>
          <w:lang w:val="en-US"/>
        </w:rPr>
      </w:pPr>
      <w:r w:rsidRPr="002B2EC9">
        <w:rPr>
          <w:b/>
          <w:u w:val="single"/>
          <w:lang w:val="en-US"/>
        </w:rPr>
        <w:t xml:space="preserve">2.3 Data analysis </w:t>
      </w:r>
    </w:p>
    <w:p w14:paraId="4C509EBE" w14:textId="08C0C93F" w:rsidR="00571A01" w:rsidRPr="00571A01" w:rsidRDefault="00571A01" w:rsidP="002B2EC9">
      <w:pPr>
        <w:spacing w:before="0" w:line="480" w:lineRule="auto"/>
        <w:ind w:firstLine="720"/>
        <w:contextualSpacing/>
        <w:rPr>
          <w:bCs/>
          <w:lang w:val="en-US"/>
        </w:rPr>
      </w:pPr>
      <w:r w:rsidRPr="00571A01">
        <w:rPr>
          <w:bCs/>
          <w:lang w:val="en-US"/>
        </w:rPr>
        <w:t xml:space="preserve">First, we compared the distribution of all covariates of interest by co-use using Chi-Squared tests for categorical variables and t-tests for continuous variables. </w:t>
      </w:r>
    </w:p>
    <w:p w14:paraId="68D40C50" w14:textId="75BC7246" w:rsidR="008D7A26" w:rsidRPr="008D7A26" w:rsidRDefault="00571A01" w:rsidP="008D7A26">
      <w:pPr>
        <w:spacing w:before="0" w:line="480" w:lineRule="auto"/>
        <w:ind w:firstLine="720"/>
        <w:contextualSpacing/>
        <w:rPr>
          <w:bCs/>
          <w:lang w:val="en-US"/>
        </w:rPr>
      </w:pPr>
      <w:r w:rsidRPr="00571A01">
        <w:rPr>
          <w:bCs/>
          <w:lang w:val="en-US"/>
        </w:rPr>
        <w:t>We then conducted unadjusted logistic regression with independent variables of interest. Study wave</w:t>
      </w:r>
      <w:r w:rsidR="00043494">
        <w:rPr>
          <w:bCs/>
          <w:lang w:val="en-US"/>
        </w:rPr>
        <w:t xml:space="preserve"> (location)</w:t>
      </w:r>
      <w:r w:rsidRPr="00571A01">
        <w:rPr>
          <w:bCs/>
          <w:lang w:val="en-US"/>
        </w:rPr>
        <w:t xml:space="preserve">, age, sex, and race were included </w:t>
      </w:r>
      <w:r w:rsidR="0002000A">
        <w:rPr>
          <w:bCs/>
          <w:lang w:val="en-US"/>
        </w:rPr>
        <w:t xml:space="preserve">in the multivariable model </w:t>
      </w:r>
      <w:r w:rsidRPr="00571A01">
        <w:rPr>
          <w:bCs/>
          <w:lang w:val="en-US"/>
        </w:rPr>
        <w:t xml:space="preserve">a priori. Based on prior findings </w:t>
      </w:r>
      <w:r w:rsidR="0067226F">
        <w:rPr>
          <w:bCs/>
          <w:lang w:val="en-US"/>
        </w:rPr>
        <w:fldChar w:fldCharType="begin"/>
      </w:r>
      <w:r w:rsidR="0067226F">
        <w:rPr>
          <w:bCs/>
          <w:lang w:val="en-US"/>
        </w:rPr>
        <w:instrText xml:space="preserve"> ADDIN ZOTERO_ITEM CSL_CITATION {"citationID":"84AepLAI","properties":{"formattedCitation":"(Gladden et al., 2019)","plainCitation":"(Gladden et al., 2019)","noteIndex":0},"citationItems":[{"id":118,"uris":["http://zotero.org/users/5293367/items/UJANPCRX"],"itemData":{"id":118,"type":"article-journal","container-title":"Morbidity and Mortality Weekly Report","DOI":"10.15585/mmwr.mm6834a2","ISSN":"0149-2195","issue":"34","journalAbbreviation":"MMWR Morb Mortal Wkly Rep","note":"PMID: 31465320\nPMCID: PMC6715260","page":"737-744","source":"PubMed Central","title":"Changes in Opioid-Involved Overdose Deaths by Opioid Type and Presence of Benzodiazepines, Cocaine, and Methamphetamine — 25 States, July–December 2017 to January–June 2018","volume":"68","author":[{"family":"Gladden","given":"R. Matt"},{"family":"O’Donnell","given":"Julie"},{"family":"Mattson","given":"Christine L."},{"family":"Seth","given":"Puja"}],"issued":{"date-parts":[["2019",8,30]]}}}],"schema":"https://github.com/citation-style-language/schema/raw/master/csl-citation.json"} </w:instrText>
      </w:r>
      <w:r w:rsidR="0067226F">
        <w:rPr>
          <w:bCs/>
          <w:lang w:val="en-US"/>
        </w:rPr>
        <w:fldChar w:fldCharType="separate"/>
      </w:r>
      <w:r w:rsidR="0067226F">
        <w:rPr>
          <w:bCs/>
          <w:noProof/>
          <w:lang w:val="en-US"/>
        </w:rPr>
        <w:t>(Gladden et al., 2019)</w:t>
      </w:r>
      <w:r w:rsidR="0067226F">
        <w:rPr>
          <w:bCs/>
          <w:lang w:val="en-US"/>
        </w:rPr>
        <w:fldChar w:fldCharType="end"/>
      </w:r>
      <w:r w:rsidRPr="00571A01">
        <w:rPr>
          <w:bCs/>
          <w:lang w:val="en-US"/>
        </w:rPr>
        <w:t xml:space="preserve"> on multidrug use and the outcome, daily use of all remaining surveyed substances not included in the outcome (cocaine, crack, synthetic cannabinoids, alcohol) was also included a priori. Given its association with overdose risk, we also included injection of any drug a priori. Remaining covariates were identified using a manual forward stepwise procedure in </w:t>
      </w:r>
      <w:r w:rsidR="0002000A">
        <w:rPr>
          <w:bCs/>
          <w:lang w:val="en-US"/>
        </w:rPr>
        <w:t>which significant variables in unadjusted models at the p&lt;0.05 level</w:t>
      </w:r>
      <w:r w:rsidRPr="00571A01">
        <w:rPr>
          <w:bCs/>
          <w:lang w:val="en-US"/>
        </w:rPr>
        <w:t xml:space="preserve"> </w:t>
      </w:r>
      <w:proofErr w:type="gramStart"/>
      <w:r w:rsidRPr="00571A01">
        <w:rPr>
          <w:bCs/>
          <w:lang w:val="en-US"/>
        </w:rPr>
        <w:t>were</w:t>
      </w:r>
      <w:proofErr w:type="gramEnd"/>
      <w:r w:rsidRPr="00571A01">
        <w:rPr>
          <w:bCs/>
          <w:lang w:val="en-US"/>
        </w:rPr>
        <w:t xml:space="preserve"> retained. Collinearity was assessed using VIFs and a </w:t>
      </w:r>
      <w:proofErr w:type="spellStart"/>
      <w:r w:rsidRPr="00571A01">
        <w:rPr>
          <w:bCs/>
          <w:lang w:val="en-US"/>
        </w:rPr>
        <w:t>polychoric</w:t>
      </w:r>
      <w:proofErr w:type="spellEnd"/>
      <w:r w:rsidRPr="00571A01">
        <w:rPr>
          <w:bCs/>
          <w:lang w:val="en-US"/>
        </w:rPr>
        <w:t xml:space="preserve"> correlation matrix</w:t>
      </w:r>
      <w:r w:rsidR="002027F1">
        <w:rPr>
          <w:bCs/>
          <w:lang w:val="en-US"/>
        </w:rPr>
        <w:t>;</w:t>
      </w:r>
      <w:r w:rsidR="00E3019F">
        <w:rPr>
          <w:bCs/>
          <w:lang w:val="en-US"/>
        </w:rPr>
        <w:t xml:space="preserve"> variables were not collinear</w:t>
      </w:r>
      <w:r w:rsidR="002027F1">
        <w:rPr>
          <w:bCs/>
          <w:lang w:val="en-US"/>
        </w:rPr>
        <w:t xml:space="preserve">. </w:t>
      </w:r>
      <w:r w:rsidR="00464377">
        <w:rPr>
          <w:bCs/>
          <w:lang w:val="en-US"/>
        </w:rPr>
        <w:t>We then applied a Goodness</w:t>
      </w:r>
      <w:r w:rsidR="004D0994">
        <w:rPr>
          <w:bCs/>
          <w:lang w:val="en-US"/>
        </w:rPr>
        <w:t>-</w:t>
      </w:r>
      <w:r w:rsidR="00464377">
        <w:rPr>
          <w:bCs/>
          <w:lang w:val="en-US"/>
        </w:rPr>
        <w:t>of</w:t>
      </w:r>
      <w:r w:rsidR="004D0994">
        <w:rPr>
          <w:bCs/>
          <w:lang w:val="en-US"/>
        </w:rPr>
        <w:t>-</w:t>
      </w:r>
      <w:r w:rsidR="00464377">
        <w:rPr>
          <w:bCs/>
          <w:lang w:val="en-US"/>
        </w:rPr>
        <w:t xml:space="preserve">Fit test to our final model. </w:t>
      </w:r>
    </w:p>
    <w:p w14:paraId="35EAE495" w14:textId="77777777" w:rsidR="008D7A26" w:rsidRDefault="008D7A26" w:rsidP="001D7A0C">
      <w:pPr>
        <w:spacing w:before="0" w:line="480" w:lineRule="auto"/>
        <w:contextualSpacing/>
        <w:rPr>
          <w:b/>
          <w:lang w:val="en-US"/>
        </w:rPr>
      </w:pPr>
    </w:p>
    <w:p w14:paraId="5F8C59E1" w14:textId="721F4D71" w:rsidR="00A8220D" w:rsidRPr="00416657" w:rsidRDefault="00CB1F88" w:rsidP="004C3F13">
      <w:pPr>
        <w:spacing w:before="0" w:line="480" w:lineRule="auto"/>
        <w:contextualSpacing/>
        <w:jc w:val="center"/>
        <w:rPr>
          <w:b/>
          <w:lang w:val="en-US"/>
        </w:rPr>
      </w:pPr>
      <w:r>
        <w:rPr>
          <w:b/>
          <w:lang w:val="en-US"/>
        </w:rPr>
        <w:t xml:space="preserve">3. </w:t>
      </w:r>
      <w:r w:rsidR="00A8220D" w:rsidRPr="00416657">
        <w:rPr>
          <w:b/>
          <w:lang w:val="en-US"/>
        </w:rPr>
        <w:t>Results</w:t>
      </w:r>
    </w:p>
    <w:p w14:paraId="6456172A" w14:textId="40A33D95" w:rsidR="002B2EC9" w:rsidRPr="002B2EC9" w:rsidRDefault="002B2EC9" w:rsidP="002B2EC9">
      <w:pPr>
        <w:tabs>
          <w:tab w:val="left" w:pos="2928"/>
        </w:tabs>
        <w:spacing w:before="0" w:line="480" w:lineRule="auto"/>
        <w:contextualSpacing/>
        <w:rPr>
          <w:b/>
          <w:u w:val="single"/>
          <w:lang w:val="en-US"/>
        </w:rPr>
      </w:pPr>
      <w:r w:rsidRPr="002B2EC9">
        <w:rPr>
          <w:b/>
          <w:u w:val="single"/>
          <w:lang w:val="en-US"/>
        </w:rPr>
        <w:t xml:space="preserve">3.1 </w:t>
      </w:r>
      <w:r w:rsidR="003142FC">
        <w:rPr>
          <w:b/>
          <w:u w:val="single"/>
          <w:lang w:val="en-US"/>
        </w:rPr>
        <w:t>Sample characteristics</w:t>
      </w:r>
      <w:r w:rsidRPr="002B2EC9">
        <w:rPr>
          <w:b/>
          <w:u w:val="single"/>
          <w:lang w:val="en-US"/>
        </w:rPr>
        <w:t xml:space="preserve">.  </w:t>
      </w:r>
    </w:p>
    <w:p w14:paraId="4A0FF9FE" w14:textId="5681CF76" w:rsidR="002B2EC9" w:rsidRPr="002B2EC9" w:rsidRDefault="002B2EC9" w:rsidP="002B2EC9">
      <w:pPr>
        <w:tabs>
          <w:tab w:val="left" w:pos="2928"/>
        </w:tabs>
        <w:spacing w:before="0" w:line="480" w:lineRule="auto"/>
        <w:contextualSpacing/>
        <w:rPr>
          <w:bCs/>
          <w:lang w:val="en-US"/>
        </w:rPr>
      </w:pPr>
      <w:r w:rsidRPr="002B2EC9">
        <w:rPr>
          <w:bCs/>
          <w:lang w:val="en-US"/>
        </w:rPr>
        <w:lastRenderedPageBreak/>
        <w:t>Participants’ mean age was 4</w:t>
      </w:r>
      <w:r w:rsidR="00917A4A">
        <w:rPr>
          <w:bCs/>
          <w:lang w:val="en-US"/>
        </w:rPr>
        <w:t>6</w:t>
      </w:r>
      <w:r w:rsidRPr="002B2EC9">
        <w:rPr>
          <w:bCs/>
          <w:lang w:val="en-US"/>
        </w:rPr>
        <w:t xml:space="preserve"> (SD=11.5) years and the majority were Black (74%), male (62%), had a high school diploma or higher (62%), and were recruited from Baltimore City (67%). Forty percent of participants reported having received mental health services within the past six months. Over one-fifth of the sample (22%) reported daily co-use of opioids and BZD/TRQ (Table 1).</w:t>
      </w:r>
    </w:p>
    <w:p w14:paraId="442467C6" w14:textId="21A26891" w:rsidR="002B2EC9" w:rsidRPr="002B2EC9" w:rsidRDefault="002B2EC9" w:rsidP="002B2EC9">
      <w:pPr>
        <w:tabs>
          <w:tab w:val="left" w:pos="2928"/>
        </w:tabs>
        <w:spacing w:before="0" w:line="480" w:lineRule="auto"/>
        <w:contextualSpacing/>
        <w:rPr>
          <w:b/>
          <w:u w:val="single"/>
          <w:lang w:val="en-US"/>
        </w:rPr>
      </w:pPr>
      <w:r w:rsidRPr="002B2EC9">
        <w:rPr>
          <w:b/>
          <w:u w:val="single"/>
          <w:lang w:val="en-US"/>
        </w:rPr>
        <w:t>3.2 Bivariate analysis.</w:t>
      </w:r>
    </w:p>
    <w:p w14:paraId="05B7E7B0" w14:textId="17B5AC04" w:rsidR="002B2EC9" w:rsidRPr="002B2EC9" w:rsidRDefault="002B2EC9" w:rsidP="002B2EC9">
      <w:pPr>
        <w:tabs>
          <w:tab w:val="left" w:pos="2928"/>
        </w:tabs>
        <w:spacing w:before="0" w:line="480" w:lineRule="auto"/>
        <w:contextualSpacing/>
        <w:rPr>
          <w:bCs/>
          <w:lang w:val="en-US"/>
        </w:rPr>
      </w:pPr>
      <w:r w:rsidRPr="002B2EC9">
        <w:rPr>
          <w:bCs/>
          <w:lang w:val="en-US"/>
        </w:rPr>
        <w:t xml:space="preserve">Variables significantly associated with co-use of opioids and BZD/TRQ in unadjusted models (Table 2) included: </w:t>
      </w:r>
      <w:r w:rsidR="005A0BDE">
        <w:rPr>
          <w:bCs/>
          <w:lang w:val="en-US"/>
        </w:rPr>
        <w:t>female sex (</w:t>
      </w:r>
      <w:r w:rsidR="00A13512">
        <w:rPr>
          <w:bCs/>
          <w:lang w:val="en-US"/>
        </w:rPr>
        <w:t xml:space="preserve">50% in co-use group vs 35%, </w:t>
      </w:r>
      <w:r w:rsidR="005A0BDE">
        <w:rPr>
          <w:bCs/>
          <w:lang w:val="en-US"/>
        </w:rPr>
        <w:t xml:space="preserve">OR 1.83, CI 1.15-2.91, p=0.011); </w:t>
      </w:r>
      <w:r w:rsidRPr="002B2EC9">
        <w:rPr>
          <w:bCs/>
          <w:lang w:val="en-US"/>
        </w:rPr>
        <w:t xml:space="preserve">lacking a high school diploma or GED (51% </w:t>
      </w:r>
      <w:r w:rsidR="007C6DC5">
        <w:rPr>
          <w:bCs/>
          <w:lang w:val="en-US"/>
        </w:rPr>
        <w:t xml:space="preserve">in co-use group </w:t>
      </w:r>
      <w:r w:rsidRPr="002B2EC9">
        <w:rPr>
          <w:bCs/>
          <w:lang w:val="en-US"/>
        </w:rPr>
        <w:t>vs. 35%, OR=1.91, CI 1.20, 3.04, p=.007), receiving mental health services in the past 6 months (54%</w:t>
      </w:r>
      <w:r w:rsidR="004E2508">
        <w:rPr>
          <w:bCs/>
          <w:lang w:val="en-US"/>
        </w:rPr>
        <w:t xml:space="preserve"> in co-use group</w:t>
      </w:r>
      <w:r w:rsidRPr="002B2EC9">
        <w:rPr>
          <w:bCs/>
          <w:lang w:val="en-US"/>
        </w:rPr>
        <w:t xml:space="preserve"> vs. 36%, OR=2.11, CI 1.32-3.37, p=.002) as well as daily cocaine use (40%</w:t>
      </w:r>
      <w:r w:rsidR="004E2508">
        <w:rPr>
          <w:bCs/>
          <w:lang w:val="en-US"/>
        </w:rPr>
        <w:t xml:space="preserve"> in co-use group</w:t>
      </w:r>
      <w:r w:rsidRPr="002B2EC9">
        <w:rPr>
          <w:bCs/>
          <w:lang w:val="en-US"/>
        </w:rPr>
        <w:t xml:space="preserve"> vs. 16%, OR=3.54, CI 2.12-5.90, p&lt;.001), daily crack use (56% vs. 39%, ; OR=2.02, CI 1.27, 3.22, p=.003), daily synthetic cannabinoid use (18% vs. 7%, OR=3.23, CI 1.62, 6.42, p=.001), and any injection drug use (45% vs. 32%, OR=1.79, CI 1.12-2.87, p=0.015).</w:t>
      </w:r>
      <w:r w:rsidR="00C50013">
        <w:rPr>
          <w:bCs/>
          <w:lang w:val="en-US"/>
        </w:rPr>
        <w:t>S</w:t>
      </w:r>
      <w:r w:rsidR="005A0BDE">
        <w:rPr>
          <w:bCs/>
          <w:lang w:val="en-US"/>
        </w:rPr>
        <w:t xml:space="preserve">tudy </w:t>
      </w:r>
      <w:r w:rsidR="003C4B9F">
        <w:rPr>
          <w:bCs/>
          <w:lang w:val="en-US"/>
        </w:rPr>
        <w:t>location</w:t>
      </w:r>
      <w:r w:rsidR="005A0BDE">
        <w:rPr>
          <w:bCs/>
          <w:lang w:val="en-US"/>
        </w:rPr>
        <w:t xml:space="preserve"> </w:t>
      </w:r>
      <w:r w:rsidR="00C50013">
        <w:rPr>
          <w:bCs/>
          <w:lang w:val="en-US"/>
        </w:rPr>
        <w:t>was</w:t>
      </w:r>
      <w:r w:rsidR="005A0BDE">
        <w:rPr>
          <w:bCs/>
          <w:lang w:val="en-US"/>
        </w:rPr>
        <w:t xml:space="preserve"> not significant in bivariate findings.</w:t>
      </w:r>
    </w:p>
    <w:p w14:paraId="7B3FF5DE" w14:textId="77777777" w:rsidR="002B2EC9" w:rsidRPr="002B2EC9" w:rsidRDefault="002B2EC9" w:rsidP="002B2EC9">
      <w:pPr>
        <w:tabs>
          <w:tab w:val="left" w:pos="2928"/>
        </w:tabs>
        <w:spacing w:before="0" w:line="480" w:lineRule="auto"/>
        <w:contextualSpacing/>
        <w:rPr>
          <w:b/>
          <w:u w:val="single"/>
          <w:lang w:val="en-US"/>
        </w:rPr>
      </w:pPr>
      <w:r w:rsidRPr="002B2EC9">
        <w:rPr>
          <w:b/>
          <w:u w:val="single"/>
          <w:lang w:val="en-US"/>
        </w:rPr>
        <w:t>3.3 Multivariable analyses</w:t>
      </w:r>
    </w:p>
    <w:p w14:paraId="4A5D15A2" w14:textId="0AC76003" w:rsidR="008D7A26" w:rsidRPr="008D7A26" w:rsidRDefault="002B2EC9" w:rsidP="006D03AB">
      <w:pPr>
        <w:tabs>
          <w:tab w:val="left" w:pos="2928"/>
        </w:tabs>
        <w:spacing w:before="0" w:line="480" w:lineRule="auto"/>
        <w:contextualSpacing/>
        <w:rPr>
          <w:bCs/>
          <w:lang w:val="en-US"/>
        </w:rPr>
      </w:pPr>
      <w:r w:rsidRPr="002B2EC9">
        <w:rPr>
          <w:bCs/>
          <w:lang w:val="en-US"/>
        </w:rPr>
        <w:t>In</w:t>
      </w:r>
      <w:r w:rsidR="004E2508">
        <w:rPr>
          <w:bCs/>
          <w:lang w:val="en-US"/>
        </w:rPr>
        <w:t xml:space="preserve"> multivariable analyses</w:t>
      </w:r>
      <w:r w:rsidRPr="002B2EC9">
        <w:rPr>
          <w:bCs/>
          <w:lang w:val="en-US"/>
        </w:rPr>
        <w:t>, significant correlates of co-use included (Table 2): lacking a high school diploma or GED, (aOR=1.72, 95% CI=1.02-2.89, p=0.041), receiving mental health services in the past 6 months (aOR=2.11, 95% CI=1.27-3.52, p=0.004), daily use of cocaine (aOR=3.59, 95% CI: 1.98 – 6.49, p&lt;.001), and daily use of synthetic cannabinoids (aOR=3.09, 95% CI: 1.39 – 6.90, p=0.006). Odds of co-use were significantly lower among Black participants compared to white participants (aOR=0.38, 95% CI: 0.18 – 0.81, p=0.012).</w:t>
      </w:r>
    </w:p>
    <w:p w14:paraId="62AB0E44" w14:textId="4612AB1E" w:rsidR="00A8220D" w:rsidRPr="00416657" w:rsidRDefault="00CB1F88" w:rsidP="004C3F13">
      <w:pPr>
        <w:tabs>
          <w:tab w:val="left" w:pos="2928"/>
        </w:tabs>
        <w:spacing w:before="0" w:line="480" w:lineRule="auto"/>
        <w:contextualSpacing/>
        <w:jc w:val="center"/>
        <w:rPr>
          <w:b/>
          <w:lang w:val="en-US"/>
        </w:rPr>
      </w:pPr>
      <w:r>
        <w:rPr>
          <w:b/>
          <w:lang w:val="en-US"/>
        </w:rPr>
        <w:t xml:space="preserve">4. </w:t>
      </w:r>
      <w:r w:rsidR="00A8220D" w:rsidRPr="00416657">
        <w:rPr>
          <w:b/>
          <w:lang w:val="en-US"/>
        </w:rPr>
        <w:t>Discussion</w:t>
      </w:r>
    </w:p>
    <w:p w14:paraId="673ADC2A" w14:textId="4550C456" w:rsidR="002B2EC9" w:rsidRPr="002B2EC9" w:rsidRDefault="002B2EC9" w:rsidP="008804C5">
      <w:pPr>
        <w:spacing w:before="0" w:line="480" w:lineRule="auto"/>
        <w:ind w:firstLine="720"/>
        <w:contextualSpacing/>
        <w:rPr>
          <w:lang w:val="en-US"/>
        </w:rPr>
      </w:pPr>
      <w:r w:rsidRPr="002B2EC9">
        <w:rPr>
          <w:bCs/>
          <w:lang w:val="en-US"/>
        </w:rPr>
        <w:lastRenderedPageBreak/>
        <w:t>O</w:t>
      </w:r>
      <w:r w:rsidRPr="002B2EC9">
        <w:rPr>
          <w:lang w:val="en-US"/>
        </w:rPr>
        <w:t xml:space="preserve">ver one fifth of participants in a sample of street-based PWUO reported daily co-use of opioids and BZD/TRQ. We found that odds of co-use were significantly higher among participants who were white, did not receive a high school diploma/GED, engaged in polysubstance use, and recently received mental healthcare services. These findings highlight important links between co-use and sociodemographic factors, structural vulnerability, substance use patterns, and mental health service access. </w:t>
      </w:r>
    </w:p>
    <w:p w14:paraId="6F594FEA" w14:textId="73EE1936" w:rsidR="002B2EC9" w:rsidRPr="002B2EC9" w:rsidRDefault="002B2EC9" w:rsidP="008804C5">
      <w:pPr>
        <w:spacing w:before="0" w:line="480" w:lineRule="auto"/>
        <w:ind w:firstLine="720"/>
        <w:contextualSpacing/>
        <w:rPr>
          <w:bCs/>
          <w:iCs/>
          <w:lang w:val="en-US"/>
        </w:rPr>
      </w:pPr>
      <w:r w:rsidRPr="002B2EC9">
        <w:rPr>
          <w:bCs/>
          <w:iCs/>
          <w:lang w:val="en-US"/>
        </w:rPr>
        <w:t xml:space="preserve">Although factors influencing a clinician’s decision of whether to prescribe BZD/TRQ’s are poorly understood, it is well documented that clinician’s prescribe fewer BZD’s and fewer opioids to racial and ethnic minorities </w:t>
      </w:r>
      <w:r w:rsidR="0067226F">
        <w:rPr>
          <w:bCs/>
          <w:iCs/>
          <w:lang w:val="en-US"/>
        </w:rPr>
        <w:fldChar w:fldCharType="begin"/>
      </w:r>
      <w:r w:rsidR="000208EE">
        <w:rPr>
          <w:bCs/>
          <w:iCs/>
          <w:lang w:val="en-US"/>
        </w:rPr>
        <w:instrText xml:space="preserve"> ADDIN ZOTERO_ITEM CSL_CITATION {"citationID":"mLLjUk81","properties":{"formattedCitation":"(Badreldin et al., 2019; Cook et al., 2018; Peters et al., 2015; Rambachan et al., 2021)","plainCitation":"(Badreldin et al., 2019; Cook et al., 2018; Peters et al., 2015; Rambachan et al., 2021)","noteIndex":0},"citationItems":[{"id":284,"uris":["http://zotero.org/users/5293367/items/4BRGF3XE"],"itemData":{"id":284,"type":"article-journal","abstract":"Hispanic and non-Hispanic black women experience postpartum disparities in pain management that cannot be explained by less perceived pain.","container-title":"Obstetrics and gynecology","DOI":"10.1097/AOG.0000000000003561","ISSN":"0029-7844","issue":"6","journalAbbreviation":"Obstet Gynecol","note":"PMID: 31764723\nPMCID: PMC6905121","page":"1147-1153","source":"PubMed Central","title":"Racial Disparities in Postpartum Pain Management","volume":"134","author":[{"family":"Badreldin","given":"Nevert"},{"family":"Grobman","given":"William A."},{"family":"Yee","given":"Lynn M."}],"issued":{"date-parts":[["2019",12]]}}},{"id":143,"uris":["http://zotero.org/users/5293367/items/T4QFPBKH"],"itemData":{"id":143,"type":"article-journal","abstract":"Background\nBenzodiazepines (BZDs) are widely prescribed during psychiatric treatment. Unfortunately, their misuse has led to recent surges in overdose emergency visits and drug-related deaths.\n\nMethods\nElectronic health record data from a large healthcare system were used to describe racial/ethnic, sex, and age differences in BZD use and dependence. Among patients with a BZD prescription, we assessed differences in the likelihood of subsequently receiving a BZD dependence diagnosis, number of BZD prescriptions, receiving only one BZD prescription, and receiving 18 or more BZD prescriptions. We also estimated multivariate hazard models and generalized linear models, assessing racial/ethnic differences after adjustment for covariates.\n\nResults\nIn both unadjusted and adjusted analyses, Whites were more likely than Blacks, Hispanics, and Asians to have a BZD dependence diagnosis and to receive a BZD prescription. Racial/ethnic minority groups received fewer BZD prescriptions, were more likely to have only one BZD prescription, and were less likely to have 18 or more BZD prescriptions. We identified greater BZD misuse among older patients but no sex differences.\n\nConclusions\nFindings from this study add to the emerging evidence of high relative rates of prescription drug abuse among Whites. There is a concern, given their greater likelihood of having only one BZD prescription, that Blacks, Hispanics, and Asians may be discontinuing BZDs before their clinical need is resolved. Research is needed on provider readiness to offer racial/ethnic minorities BZDs when indicated, patient preferences for BZDs, and whether lower prescription rates among racial/ethnic minorities offer protection against the progression from prescription to addiction.","container-title":"Drug and alcohol dependence","DOI":"10.1016/j.drugalcdep.2018.02.011","ISSN":"0376-8716","journalAbbreviation":"Drug Alcohol Depend","note":"PMID: 29626743\nPMCID: PMC5959774","page":"29-34","source":"PubMed Central","title":"Examining racial/ethnic differences in patterns of benzodiazepine prescription and misuse","volume":"187","author":[{"family":"Cook","given":"Benjamin"},{"family":"Creedon","given":"Timothy"},{"family":"Wang","given":"Ye"},{"family":"Lu","given":"Chunling"},{"family":"Carson","given":"Nicholas"},{"family":"Jules","given":"Piter"},{"family":"Lee","given":"Esther"},{"family":"Alegría","given":"Margarita"}],"issued":{"date-parts":[["2018",6,1]]}}},{"id":145,"uris":["http://zotero.org/users/5293367/items/SP2FYC6P"],"itemData":{"id":145,"type":"article-journal","abstract":"Objective\nWe sought to characterize diagnostic and treatment factors associated with receiving a prescription for benzodiazepines at discharge from a psychiatric inpatient unit. We hypothesized that engaging in individual behavioral interventions while on the unit would decrease the likelihood of receiving a benzodiazepine prescription at discharge.\nMethod\nThis is an observational study utilizing medical chart review (n=1007) over 37 months (2008–2011). Descriptive statistics characterized patient demographics and diagnostic/prescription frequency. Multivariate regression was used to assess factors associated with receiving a benzodiazepine prescription at discharge.\nResults\nThe sample was 61% female with mean age=40.5 (S.D.=13.6). Most frequent diagnoses were depression (54.7%) and bipolar disorder (18.6%). Thirty-eight percent of participants engaged in an individual behavioral intervention. Benzodiazepines were prescribed in 36% of discharges. Contrary to our hypothesis, individual behavioral interventions did not influence discharge benzodiazepine prescriptions. However, several other factors did, including having a substance use disorder [odds ratio (OR)=0.40]. Male sex (OR=0.56), Black race (OR=0.40) and age (OR=1.03) were nonclinical factors with strong prescribing influence.\nConclusion\nBenzodiazepines are frequently prescribed at discharge. Our results indicate strong racial and sex biases when prescribing benzodiazepines, even after controlling for diagnosis.","container-title":"General Hospital Psychiatry","DOI":"10.1016/j.genhosppsych.2015.06.004","ISSN":"0163-8343","issue":"6","journalAbbreviation":"General Hospital Psychiatry","language":"en","page":"595-600","source":"ScienceDirect","title":"Demographic and clinical factors associated with benzodiazepine prescription at discharge from psychiatric inpatient treatment","volume":"37","author":[{"family":"Peters","given":"Shannon M."},{"family":"Knauf","given":"Kendra Quincy"},{"family":"Derbidge","given":"Christina M."},{"family":"Kimmel","given":"Ryan"},{"family":"Vannoy","given":"Steven"}],"issued":{"date-parts":[["2015",11,1]]}}},{"id":286,"uris":["http://zotero.org/users/5293367/items/829638R3"],"itemData":{"id":286,"type":"article-journal","abstract":"BACKGROUND Differential opioid prescribing patterns have been reported in non-White patient populations. However, these disparities have not been well described among hospitalized medical inpatients. OBJECTIVE To describe differences in opioid prescribing patterns among inpatients discharged from the general medicine service based on race/ethnicity. DESIGN, SETTING, AND PARTICIPANTS For this retrospective study, we performed a multivariable logistic regression for patient race/ethnicity and whether patients received an opioid prescription at discharge and a negative binomial regression for days of opioids prescribed at discharge. The study included all 10,953 inpatients discharged from the general medicine service from June 2012 to November 2018 at University of California San Francisco Medical Center who received opioids during the last 24 hours of their hospitalization. MAIN OUTCOMES AND MEASURES We examined two primary outcomes: whether a patient received an opioid prescription at discharge, and, for patients prescribed opioids, the number of days dispensed. RESULTS Compared with White patients, Black patients were less likely to receive an opioid prescription at discharge (predicted population rate of 47.6% vs 50.7%; average marginal effect [AME], −3.1%; 95% CI, −5.5% to −0.8%). Asian patients were more likely to receive an opioid prescription on discharge (predicted population rate, 55.6% vs 50.7%; AME, +4.9; 95% CI, 1.5%-8.3%). We also found that Black patients received a shorter duration of opioid days compared with White patients (predicted days of opioids on discharge, 15.7 days vs 17.8 days; AME, −2.1 days; 95% CI, −3.3 to −0.9). CONCLUSION Black patients were less likely to receive opioids and received shorter courses at discharge compared with White patients, adjusting for covariates. Asian patients were the most likely to receive an opioid prescription.","container-title":"Journal of Hospital Medicine","DOI":"10.12788/jhm.3667","ISSN":"1553-5606","issue":"10","language":"en","license":"© 2021 Society of Hospital Medicine","note":"_eprint: https://onlinelibrary.wiley.com/doi/pdf/10.12788/jhm.3667","page":"589-595","source":"Wiley Online Library","title":"Racial and Ethnic Disparities in Discharge Opioid Prescribing From a Hospital Medicine Service","volume":"16","author":[{"family":"Rambachan","given":"Aksharananda"},{"family":"Fang","given":"Margaret C"},{"family":"Prasad","given":"Priya"},{"family":"Iverson","given":"Nicholas"}],"issued":{"date-parts":[["2021"]]}}}],"schema":"https://github.com/citation-style-language/schema/raw/master/csl-citation.json"} </w:instrText>
      </w:r>
      <w:r w:rsidR="0067226F">
        <w:rPr>
          <w:bCs/>
          <w:iCs/>
          <w:lang w:val="en-US"/>
        </w:rPr>
        <w:fldChar w:fldCharType="separate"/>
      </w:r>
      <w:r w:rsidR="00D76628">
        <w:rPr>
          <w:bCs/>
          <w:iCs/>
          <w:noProof/>
          <w:lang w:val="en-US"/>
        </w:rPr>
        <w:t>(Peters et al., 2015; Rambachan et al., 2021)</w:t>
      </w:r>
      <w:r w:rsidR="0067226F">
        <w:rPr>
          <w:bCs/>
          <w:iCs/>
          <w:lang w:val="en-US"/>
        </w:rPr>
        <w:fldChar w:fldCharType="end"/>
      </w:r>
      <w:r w:rsidR="0067226F">
        <w:rPr>
          <w:bCs/>
          <w:iCs/>
          <w:lang w:val="en-US"/>
        </w:rPr>
        <w:t>.</w:t>
      </w:r>
      <w:r w:rsidRPr="002B2EC9">
        <w:rPr>
          <w:bCs/>
          <w:iCs/>
          <w:lang w:val="en-US"/>
        </w:rPr>
        <w:t xml:space="preserve"> </w:t>
      </w:r>
      <w:r w:rsidRPr="002B2EC9">
        <w:rPr>
          <w:bCs/>
          <w:lang w:val="en-US"/>
        </w:rPr>
        <w:t xml:space="preserve">Our findings highlight that racial disparities may contribute to differences in co-use patterns of </w:t>
      </w:r>
      <w:r w:rsidRPr="002B2EC9">
        <w:rPr>
          <w:lang w:val="en-US"/>
        </w:rPr>
        <w:t>opioids and BZD/TRQ</w:t>
      </w:r>
      <w:r w:rsidRPr="002B2EC9">
        <w:rPr>
          <w:bCs/>
          <w:lang w:val="en-US"/>
        </w:rPr>
        <w:t xml:space="preserve"> among white and Black patients. Black participants reported significantly lower co-use relative to white participants, which is consistent with previous findings that identified whites </w:t>
      </w:r>
      <w:r w:rsidR="0067226F">
        <w:rPr>
          <w:bCs/>
          <w:lang w:val="en-US"/>
        </w:rPr>
        <w:fldChar w:fldCharType="begin"/>
      </w:r>
      <w:r w:rsidR="0067226F">
        <w:rPr>
          <w:bCs/>
          <w:lang w:val="en-US"/>
        </w:rPr>
        <w:instrText xml:space="preserve"> ADDIN ZOTERO_ITEM CSL_CITATION {"citationID":"YcBrSaGu","properties":{"formattedCitation":"(Bouvier et al., 2018; Tucker et al., 2016)","plainCitation":"(Bouvier et al., 2018; Tucker et al., 2016)","noteIndex":0},"citationItems":[{"id":129,"uris":["http://zotero.org/users/5293367/items/HUX5T748"],"itemData":{"id":129,"type":"article-journal","abstract":"BACKGROUND: Benzodiazepine use dramatically increases the risk of unintentional overdose among people who use opioids non-medically. However, little is known about the patterns of co-occurring benzodiazepine and opioid use among young adults in the United States.\nMETHODS: The Rhode Island Young Adult Prescription Drug Study (RAPiDS) was a cross-sectional study from January 2015-February 2016. RAPiDS recruited 200 young adults aged 18-29 who reported past 30-day non-medical prescription opioid (NMPO) use. Using Wilcoxon rank sum test and Fisher's exact test, we examined correlates associated with regular prescribed and non-medical use (defined as at least monthly) of benzodiazepines among NMPO users in Rhode Island.\nRESULTS: Among participants, 171 (85.5%) reported lifetime benzodiazepine use and 125 (62.5%) reported regular benzodiazepine use. Nearly all (n=121, 96.8%) reported non-medical use and 43 (34.4%) reported prescribed use. Compared to the 75 participants who did not regularly use benzodiazepines, participants who reported regular use were more likely to be white (66.3% vs. 58.0%, p=0.03), have ever been incarcerated (52.8% vs. 37.3%, p=0.04), and have ever been diagnosed with a psychiatric disorder (bipolar: 29.6% vs. 16.0%, p=0.04; anxiety: 56.8 vs. 36.0%, p=0.01). Although the association was marginally significant, accidental overdose was higher among those who were prescribed the benzodiazepine they used most frequently compared to those who were not (41.9% vs. 24.4%, p=0.06).\nCONCLUSION: Benzodiazepine use and misuse are highly prevalent among young adult NMPO users. Harm reduction and prevention programs for this population are urgently needed.","container-title":"Drug and Alcohol Dependence","DOI":"10.1016/j.drugalcdep.2017.10.023","ISSN":"1879-0046","journalAbbreviation":"Drug Alcohol Depend","language":"eng","note":"PMID: 29241103\nPMCID: PMC5803376","page":"73-77","source":"PubMed","title":"Prevalence and correlates of benzodiazepine use and misuse among young adults who use prescription opioids non-medically","volume":"183","author":[{"family":"Bouvier","given":"Benjamin A."},{"family":"Waye","given":"Katherine M."},{"family":"Elston","given":"Beth"},{"family":"Hadland","given":"Scott E."},{"family":"Green","given":"Traci C."},{"family":"Marshall","given":"Brandon D. L."}],"issued":{"date-parts":[["2018",2,1]]}}},{"id":165,"uris":["http://zotero.org/users/5293367/items/KZHMUENW"],"itemData":{"id":165,"type":"article-journal","abstract":"Background\nThough known to have abuse potential, benzodiazepine medications remain widely prescribed. Furthermore, issues related to benzodiazepine use by people who inject drugs (PWID) remain to be fully characterized. We therefore sought to examine the prevalence of and risk factors associated with benzodiazepine use in a street-involved urban population.\nMethods\nBetween May 1996 and November 2013, data were derived from two open prospective cohort studies in Vancouver, Canada, restricted to PWID. Multivariable logistic regression with generalized estimating equations (GEE) was used to determine factors independently associated with benzodiazepine use.\nResults\nOver the study period, 2806 individuals were recruited, including 949 (34%) women. Of these, 1080 (38.5%) participants reported benzodiazepine use at least once during the study period. In the multivariable analysis, Caucasian ethnicity, ≥ daily heroin injection, ≥ daily cocaine injection, non-fatal overdose, incarceration, syringe sharing, and unsafe sex were all independently associated with benzodiazepine use. Conversely, older age, homelessness, and ≥ daily crack smoking were negatively associated with benzodiazepine use.\nConclusions\nUse of benzodiazepines was common in this urban setting and was associated with several markers of addiction severity and significant health and social vulnerabilities including syringe sharing and unsafe sex. These findings underscore the need to promote treatment for benzodiazepine use, safer benzodiazepine prescribing, including greater recognition of the limited indications for evidence-based use of this medication class.","container-title":"Addictive Behaviors","DOI":"10.1016/j.addbeh.2015.10.002","ISSN":"0306-4603","journalAbbreviation":"Addictive Behaviors","language":"en","page":"103-107","source":"ScienceDirect","title":"Risk factors associated with benzodiazepine use among people who inject drugs in an urban Canadian setting","volume":"52","author":[{"family":"Tucker","given":"Devin"},{"family":"Hayashi","given":"Kanna"},{"family":"Milloy","given":"M. -J."},{"family":"Nolan","given":"Seonaid"},{"family":"Dong","given":"Huiru"},{"family":"Kerr","given":"Thomas"},{"family":"Wood","given":"Evan"}],"issued":{"date-parts":[["2016",1,1]]}}}],"schema":"https://github.com/citation-style-language/schema/raw/master/csl-citation.json"} </w:instrText>
      </w:r>
      <w:r w:rsidR="0067226F">
        <w:rPr>
          <w:bCs/>
          <w:lang w:val="en-US"/>
        </w:rPr>
        <w:fldChar w:fldCharType="separate"/>
      </w:r>
      <w:r w:rsidR="0067226F">
        <w:rPr>
          <w:bCs/>
          <w:noProof/>
          <w:lang w:val="en-US"/>
        </w:rPr>
        <w:t>(Bouvier et al., 2018)</w:t>
      </w:r>
      <w:r w:rsidR="0067226F">
        <w:rPr>
          <w:bCs/>
          <w:lang w:val="en-US"/>
        </w:rPr>
        <w:fldChar w:fldCharType="end"/>
      </w:r>
      <w:r w:rsidR="0067226F">
        <w:rPr>
          <w:bCs/>
          <w:lang w:val="en-US"/>
        </w:rPr>
        <w:t xml:space="preserve"> </w:t>
      </w:r>
      <w:r w:rsidRPr="002B2EC9">
        <w:rPr>
          <w:bCs/>
          <w:lang w:val="en-US"/>
        </w:rPr>
        <w:t>at being at increased risk for co-use</w:t>
      </w:r>
      <w:r w:rsidRPr="002B2EC9">
        <w:rPr>
          <w:bCs/>
          <w:iCs/>
          <w:lang w:val="en-US"/>
        </w:rPr>
        <w:t xml:space="preserve">. This raises complex questions about possible under-treatment of anxiety symptoms in racial/ethnic minorities, and conversely, the over-treatment in whites. The persistence of racial disparities in prescribing practices for medications with clinical utility to reduce suffering warrants further examination by the medical community, as it calls into the question the role of racial bias and structural racism in healthcare delivery. </w:t>
      </w:r>
    </w:p>
    <w:p w14:paraId="689A9EC8" w14:textId="163D1F23" w:rsidR="002B2EC9" w:rsidRPr="002B2EC9" w:rsidRDefault="002B2EC9" w:rsidP="008804C5">
      <w:pPr>
        <w:spacing w:before="0" w:line="480" w:lineRule="auto"/>
        <w:ind w:firstLine="720"/>
        <w:contextualSpacing/>
        <w:rPr>
          <w:bCs/>
          <w:iCs/>
          <w:lang w:val="en-US"/>
        </w:rPr>
      </w:pPr>
      <w:r w:rsidRPr="002B2EC9">
        <w:rPr>
          <w:bCs/>
          <w:iCs/>
          <w:lang w:val="en-US"/>
        </w:rPr>
        <w:t xml:space="preserve">Co-use was significantly more prevalent among female participants in the bivariate model (p=0.011), but this association did not reach significance in adjusted models (p=0.055). Previous literature suggests that women are more likely to co-use BZD/TRQ with opioids </w:t>
      </w:r>
      <w:r w:rsidR="008E06F1">
        <w:rPr>
          <w:bCs/>
          <w:iCs/>
          <w:lang w:val="en-US"/>
        </w:rPr>
        <w:fldChar w:fldCharType="begin"/>
      </w:r>
      <w:r w:rsidR="008E06F1">
        <w:rPr>
          <w:bCs/>
          <w:iCs/>
          <w:lang w:val="en-US"/>
        </w:rPr>
        <w:instrText xml:space="preserve"> ADDIN ZOTERO_ITEM CSL_CITATION {"citationID":"8vaVubNu","properties":{"formattedCitation":"(Cropsey et al., 2015)","plainCitation":"(Cropsey et al., 2015)","noteIndex":0},"citationItems":[{"id":153,"uris":["http://zotero.org/users/5293367/items/MCFFNF5K"],"itemData":{"id":153,"type":"article-journal","abstract":"Background\nThe use of heroin and prescription opioids has increased over the past decade. The concurrent use of opioids with other depressants such as benzodiazepines increases the risk of overdose death compared with use of either drug alone. This study examined factors associated with concurrent use of opioids and benzodiazepines in a criminal justice sample in the state of Alabama.\nMethods\nThe Addiction Severity Index (ASI) and urine drug screen results from 28,570 individuals who were under community corrections supervision from 2002–2012 were examined for independent or concurrent opioid and benzodiazepine use. Multinomial logistic regression analyses were conducted to determine associations between socio-demographic characteristics and drug use.\nResults\nConcurrent use was detected in 11.5% of the sample. Concurrent use of opioids and benzodiazepines or use of either drug alone was associated with being White, female, married, prescribed psychiatric medications, having seen a physician in the past two years, cannabis use, and having a drug-related offense. Concurrent users were more likely to be unemployed or disabled and have received counseling, and less likely to have completed college, live with relatives or friends, have a history of hallucinations, or have an offense against a person relative to nonusers.\nDiscussion\nWhile significant overlap of risk factors exists between individuals with concurrent use versus sole use of opioids or benzodiazepines, individuals with concurrent use generally have more social dysfunction than individuals who tested for either substance alone. Concurrent users may need more psychosocial resources and intensive treatments to promote recovery.","container-title":"Drug and Alcohol Dependence","DOI":"10.1016/j.drugalcdep.2015.06.038","ISSN":"0376-8716","journalAbbreviation":"Drug and Alcohol Dependence","language":"en","page":"152-157","source":"ScienceDirect","title":"Risk factors for concurrent use of benzodiazepines and opioids among individuals under community corrections supervision","volume":"154","author":[{"family":"Cropsey","given":"Karen L."},{"family":"Stevens","given":"Erin N."},{"family":"Valera","given":"Pamela"},{"family":"Brendan Clark","given":"C."},{"family":"Bulls","given":"Hailey W."},{"family":"Nair","given":"Parvathy"},{"family":"Lane","given":"Peter S."}],"issued":{"date-parts":[["2015",9,1]]}}}],"schema":"https://github.com/citation-style-language/schema/raw/master/csl-citation.json"} </w:instrText>
      </w:r>
      <w:r w:rsidR="008E06F1">
        <w:rPr>
          <w:bCs/>
          <w:iCs/>
          <w:lang w:val="en-US"/>
        </w:rPr>
        <w:fldChar w:fldCharType="separate"/>
      </w:r>
      <w:r w:rsidR="008E06F1">
        <w:rPr>
          <w:bCs/>
          <w:iCs/>
          <w:noProof/>
          <w:lang w:val="en-US"/>
        </w:rPr>
        <w:t>(Cropsey et al., 2015)</w:t>
      </w:r>
      <w:r w:rsidR="008E06F1">
        <w:rPr>
          <w:bCs/>
          <w:iCs/>
          <w:lang w:val="en-US"/>
        </w:rPr>
        <w:fldChar w:fldCharType="end"/>
      </w:r>
      <w:r w:rsidR="008E06F1">
        <w:rPr>
          <w:bCs/>
          <w:iCs/>
          <w:lang w:val="en-US"/>
        </w:rPr>
        <w:t>.</w:t>
      </w:r>
      <w:r w:rsidRPr="002B2EC9">
        <w:rPr>
          <w:bCs/>
          <w:iCs/>
          <w:lang w:val="en-US"/>
        </w:rPr>
        <w:t xml:space="preserve"> Women are more likely to be diagnosed with anxiety-related disorders relative to men </w:t>
      </w:r>
      <w:r w:rsidR="008E06F1">
        <w:rPr>
          <w:bCs/>
          <w:iCs/>
          <w:lang w:val="en-US"/>
        </w:rPr>
        <w:fldChar w:fldCharType="begin"/>
      </w:r>
      <w:r w:rsidR="008E06F1">
        <w:rPr>
          <w:bCs/>
          <w:iCs/>
          <w:lang w:val="en-US"/>
        </w:rPr>
        <w:instrText xml:space="preserve"> ADDIN ZOTERO_ITEM CSL_CITATION {"citationID":"6HltYF3O","properties":{"formattedCitation":"(McLean et al., 2011)","plainCitation":"(McLean et al., 2011)","noteIndex":0},"citationItems":[{"id":124,"uris":["http://zotero.org/users/5293367/items/D45IIYGB"],"itemData":{"id":124,"type":"article-journal","abstract":"Women have consistently higher prevalence rates of anxiety disorders, but less is known about how gender affects age of onset, chronicity, comorbidity, and burden of illness. Gender differences in DSM-IV anxiety disorders were examined in a large sample of adults (N=20,013) in the United States using data from the Collaborative Psychiatric Epidemiology Studies (CPES). The lifetime and 12-month male:female prevalence ratios of any anxiety disorder were 1:1.7 and 1:1.79, respectively. Women had higher rates of lifetime diagnosis for each of the anxiety disorders examined, except for social anxiety disorder which showed no gender difference in prevalence. No gender differences were observed in the age of onset and chronicity of the illness. However, women with a lifetime diagnosis of an anxiety disorder were more likely than men to also be diagnosed with another anxiety disorder, bulimia nervosa, and major depressive disorder. Furthermore, anxiety disorders were associated with a greater illness burden in women than in men, particularly among European American women and to some extend also among Hispanic women. These results suggest that anxiety disorders are not only more prevalent but also more disabling in women than in men.","container-title":"Journal of Psychiatric Research","DOI":"10.1016/j.jpsychires.2011.03.006","ISSN":"0022-3956","issue":"8","journalAbbreviation":"Journal of Psychiatric Research","language":"en","page":"1027-1035","source":"ScienceDirect","title":"Gender differences in anxiety disorders: Prevalence, course of illness, comorbidity and burden of illness","title-short":"Gender differences in anxiety disorders","volume":"45","author":[{"family":"McLean","given":"Carmen P."},{"family":"Asnaani","given":"Anu"},{"family":"Litz","given":"Brett T."},{"family":"Hofmann","given":"Stefan G."}],"issued":{"date-parts":[["2011",8,1]]}}}],"schema":"https://github.com/citation-style-language/schema/raw/master/csl-citation.json"} </w:instrText>
      </w:r>
      <w:r w:rsidR="008E06F1">
        <w:rPr>
          <w:bCs/>
          <w:iCs/>
          <w:lang w:val="en-US"/>
        </w:rPr>
        <w:fldChar w:fldCharType="separate"/>
      </w:r>
      <w:r w:rsidR="008E06F1">
        <w:rPr>
          <w:bCs/>
          <w:iCs/>
          <w:noProof/>
          <w:lang w:val="en-US"/>
        </w:rPr>
        <w:t>(McLean et al., 2011)</w:t>
      </w:r>
      <w:r w:rsidR="008E06F1">
        <w:rPr>
          <w:bCs/>
          <w:iCs/>
          <w:lang w:val="en-US"/>
        </w:rPr>
        <w:fldChar w:fldCharType="end"/>
      </w:r>
      <w:r w:rsidRPr="002B2EC9">
        <w:rPr>
          <w:bCs/>
          <w:iCs/>
          <w:lang w:val="en-US"/>
        </w:rPr>
        <w:t xml:space="preserve"> and are more likely to be prescribed both benzodiazepines </w:t>
      </w:r>
      <w:r w:rsidR="008E06F1">
        <w:rPr>
          <w:bCs/>
          <w:iCs/>
          <w:lang w:val="en-US"/>
        </w:rPr>
        <w:fldChar w:fldCharType="begin"/>
      </w:r>
      <w:r w:rsidR="008E06F1">
        <w:rPr>
          <w:bCs/>
          <w:iCs/>
          <w:lang w:val="en-US"/>
        </w:rPr>
        <w:instrText xml:space="preserve"> ADDIN ZOTERO_ITEM CSL_CITATION {"citationID":"7guHMaEI","properties":{"formattedCitation":"(Agarwal and Landon, 2019; Olfson et al., 2015)","plainCitation":"(Agarwal and Landon, 2019; Olfson et al., 2015)","noteIndex":0},"citationItems":[{"id":122,"uris":["http://zotero.org/users/5293367/items/8WYBUKWJ"],"itemData":{"id":122,"type":"article-journal","abstract":"Benzodiazepines are implicated in a growing number of overdose-related deaths.To quantify patterns in outpatient benzodiazepine prescribing and to compare them across specialties and indications.This serial cross-sectional study (January 1, 2003, through December 31, 2015) used nationally representative National Ambulatory Medical Care Survey data. The yearly population-based sample of outpatient visits among adults, ranging from 20 884 visits in 2003 (representing 737 million visits) to 24 273 visits in 2015 (representing 841 million visits) was analyzed. Prescribing patterns were examined by specialty and indication and used to calculate the annual coprescribing rate of benzodiazepines with other sedating medications. Data were analyzed from July 1, 2017, through November 30, 2018.Annual benzodiazepine visit rate.Among the 386 457 ambulatory care visits from 2003 through 2015, a total of 919 benzodiazepine visits occurred in 2003 and 1672 in 2015, nationally representing 27.6 million and 62.6 million visits, respectively. The benzodiazepine visit rate doubled from 3.8% (95% CI, 3.2%-4.4%) to 7.4% (95% CI, 6.4%-8.6%; P &amp;lt; .001) of visits. Visits to primary care physicians accounted for approximately half of all benzodiazepine visits (52.3% [95% CI, 50.0%-54.6%]). The benzodiazepine visit rate did not change among visits to psychiatrists (29.6% [95% CI, 23.3%-36.7%] in 2003 to 30.2% [95% CI, 25.6%-35.2%] in 2015; P = .90), but increased among all other physicians, including primary care physicians (3.6% [95% CI, 2.9%-4.4%] to 7.5% [95% CI, 6.0%-9.5%]; P &amp;lt; .001). The benzodiazepine visit rate increased slightly for anxiety and depression (26.6% [95% CI, 22.6%-31.0%] to 33.5% [95% CI, 28.8%-38.6%]; P = .003) and neurologic conditions (6.8% [95% CI, 4.8%-9.5%] to 8.7% [95% CI, 6.2%-12.1%]; P &amp;lt; .001), but more so for back and/or chronic pain (3.6% [95% CI, 2.6%-4.9%] to 8.5% [95% CI, 6.0%-11.9%]; P &amp;lt; .001) and other conditions (1.8% [95% CI, 1.4%-2.2%] to 4.4% [95% CI, 3.7%-5.2%]; P &amp;lt; .001); use did not change for insomnia (26.9% [95% CI, 19.3%-36.0%] to 25.6% [95% CI, 15.3%-39.6%]; P = .72). The coprescribing rate of benzodiazepines with opioids quadrupled from 0.5% (95% CI, 0.3%-0.7%) in 2003 to 2.0% (95% CI, 1.4%-2.7%) in 2015 (P &amp;lt; .001); the coprescribing rate with other sedating medications doubled from 0.7% (95% CI, 0.5%-0.9%) to 1.5% (95% CI, 1.1%-1.9%) (P &amp;lt; .001).The outpatient use of benzodiazepines has increased substantially. In light of increasing rates of overdose deaths involving benzodiazepines, understanding and addressing prescribing patterns may help curb the growing use of benzodiazepines.","container-title":"JAMA Network Open","DOI":"10.1001/jamanetworkopen.2018.7399","ISSN":"2574-3805","issue":"1","journalAbbreviation":"JAMA Network Open","page":"e187399-e187399","source":"Silverchair","title":"Patterns in Outpatient Benzodiazepine Prescribing in the United States","volume":"2","author":[{"family":"Agarwal","given":"Sumit D."},{"family":"Landon","given":"Bruce E."}],"issued":{"date-parts":[["2019",1,25]]}}},{"id":120,"uris":["http://zotero.org/users/5293367/items/TUPBWPHI"],"itemData":{"id":120,"type":"article-journal","abstract":"Although concern exists regarding the rate of benzodiazepine use, especially long-term use by older adults, little information is available concerning patterns of benzodiazepine use in the United States.To describe benzodiazepine prescription patterns in the United States focusing on patient age and duration of use.A retrospective descriptive analysis of benzodiazepine prescriptions was performed with the 2008 LifeLink LRx Longitudinal Prescription database (IMS Health Inc), which includes approximately 60% of all retail pharmacies in the United States. Denominators were adjusted to generalize estimates to the US population.The percentage of adults filling 1 or more benzodiazepine prescriptions during the study year by sex and age group (18-35 years, 36-50 years, 51-64 years, and 65-80 years) and among individuals receiving benzodiazepines, the corresponding percentages with long-term (≥120 days) benzodiazepine use, prescription of a long-acting benzodiazepine, and benzodiazepine prescriptions from a psychiatrist.In 2008, approximately 5.2% of US adults aged 18 to 80 years used benzodiazepines. The percentage who used benzodiazepines increased with age from 2.6% (18-35 years) to 5.4% (36-50 years) to 7.4% (51-64 years) to 8.7% (65-80 years). Benzodiazepine use was nearly twice as prevalent in women as men. The proportion of benzodiazepine use that was long term increased with age from 14.7% (18-35 years) to 31.4% (65-80 years), while the proportion that received a benzodiazepine prescription from a psychiatrist decreased with age from 15.0% (18-35 years) to 5.7% (65-80 years). In all age groups, roughly one-quarter of individuals receiving benzodiazepine involved long-acting benzodiazepine use.Despite cautions concerning risks associated with long-term benzodiazepine use, especially in older patients, long-term benzodiazepine use remains common in this age group. More vigorous clinical interventions supporting judicious benzodiazepine use may be needed to decrease rates of long-term benzodiazepine use in older adults.","container-title":"JAMA Psychiatry","DOI":"10.1001/jamapsychiatry.2014.1763","ISSN":"2168-622X","issue":"2","journalAbbreviation":"JAMA Psychiatry","page":"136-142","source":"Silverchair","title":"Benzodiazepine Use in the United States","volume":"72","author":[{"family":"Olfson","given":"Mark"},{"family":"King","given":"Marissa"},{"family":"Schoenbaum","given":"Michael"}],"issued":{"date-parts":[["2015",2,1]]}}}],"schema":"https://github.com/citation-style-language/schema/raw/master/csl-citation.json"} </w:instrText>
      </w:r>
      <w:r w:rsidR="008E06F1">
        <w:rPr>
          <w:bCs/>
          <w:iCs/>
          <w:lang w:val="en-US"/>
        </w:rPr>
        <w:fldChar w:fldCharType="separate"/>
      </w:r>
      <w:r w:rsidR="008E06F1">
        <w:rPr>
          <w:bCs/>
          <w:iCs/>
          <w:noProof/>
          <w:lang w:val="en-US"/>
        </w:rPr>
        <w:t>(Agarwal and Landon, 2019</w:t>
      </w:r>
      <w:r w:rsidR="002106DF">
        <w:rPr>
          <w:bCs/>
          <w:iCs/>
          <w:noProof/>
          <w:lang w:val="en-US"/>
        </w:rPr>
        <w:t>)</w:t>
      </w:r>
      <w:r w:rsidR="008E06F1">
        <w:rPr>
          <w:bCs/>
          <w:iCs/>
          <w:lang w:val="en-US"/>
        </w:rPr>
        <w:fldChar w:fldCharType="end"/>
      </w:r>
      <w:r w:rsidRPr="002B2EC9">
        <w:rPr>
          <w:bCs/>
          <w:iCs/>
          <w:lang w:val="en-US"/>
        </w:rPr>
        <w:t xml:space="preserve"> and opioids </w:t>
      </w:r>
      <w:r w:rsidR="008E06F1">
        <w:rPr>
          <w:bCs/>
          <w:iCs/>
          <w:lang w:val="en-US"/>
        </w:rPr>
        <w:fldChar w:fldCharType="begin"/>
      </w:r>
      <w:r w:rsidR="008E06F1">
        <w:rPr>
          <w:bCs/>
          <w:iCs/>
          <w:lang w:val="en-US"/>
        </w:rPr>
        <w:instrText xml:space="preserve"> ADDIN ZOTERO_ITEM CSL_CITATION {"citationID":"NrLH7LzU","properties":{"formattedCitation":"(Campbell et al., 2010)","plainCitation":"(Campbell et al., 2010)","noteIndex":0},"citationItems":[{"id":126,"uris":["http://zotero.org/users/5293367/items/5E36363K"],"itemData":{"id":126,"type":"article-journal","abstract":"Objectives. We describe age and gender trends in long-term use of prescribed opioids for chronic noncancer pain in 2 large health plans.\n\nMethods. Age- and gender-standardized incident (beginning in each year) and prevalent (ongoing) opioid use episodes were estimated with automated health care data from 1997 to 2005. Profiles of opioid use in 2005 by age and gender were also compared.\n\nResults. From 1997 to 2005, age–gender groups exhibited a total percentage increase ranging from 16% to 87% for incident long-term opioid use and from 61% to 135% for prevalent long-term opioid use. Women had higher opioid use than did men. Older women had the highest prevalence of long-term opioid use (8%–9% in 2005). Concurrent use of sedative-hypnotic drugs and opioids was common, particularly among women.\n\nConclusions. Risks and benefits of long-term opioid use are poorly understood, particularly among older adults. Increased surveillance of the safety of long-term opioid use is needed in community practice settings.","container-title":"American Journal of Public Health","DOI":"10.2105/AJPH.2009.180646","ISSN":"0090-0036","issue":"12","journalAbbreviation":"Am J Public Health","note":"publisher: American Public Health Association","page":"2541-2547","source":"ajph-aphapublications-org.proxy-hs.researchport.umd.edu (Atypon)","title":"Age and Gender Trends in Long-Term Opioid Analgesic Use for Noncancer Pain","volume":"100","author":[{"family":"Campbell","given":"Cynthia I."},{"family":"Weisner","given":"Constance"},{"family":"LeResche","given":"Linda"},{"family":"Ray","given":"G. Thomas"},{"family":"Saunders","given":"Kathleen"},{"family":"Sullivan","given":"Mark D."},{"family":"Banta-Green","given":"Caleb J."},{"family":"Merrill","given":"Joseph O."},{"family":"Silverberg","given":"Michael J."},{"family":"Boudreau","given":"Denise"},{"family":"Satre","given":"Derek D."},{"family":"Von Korff","given":"Michael"}],"issued":{"date-parts":[["2010",12,1]]}}}],"schema":"https://github.com/citation-style-language/schema/raw/master/csl-citation.json"} </w:instrText>
      </w:r>
      <w:r w:rsidR="008E06F1">
        <w:rPr>
          <w:bCs/>
          <w:iCs/>
          <w:lang w:val="en-US"/>
        </w:rPr>
        <w:fldChar w:fldCharType="separate"/>
      </w:r>
      <w:r w:rsidR="008E06F1">
        <w:rPr>
          <w:bCs/>
          <w:iCs/>
          <w:noProof/>
          <w:lang w:val="en-US"/>
        </w:rPr>
        <w:t>(Campbell et al., 2010)</w:t>
      </w:r>
      <w:r w:rsidR="008E06F1">
        <w:rPr>
          <w:bCs/>
          <w:iCs/>
          <w:lang w:val="en-US"/>
        </w:rPr>
        <w:fldChar w:fldCharType="end"/>
      </w:r>
      <w:r w:rsidRPr="002B2EC9">
        <w:rPr>
          <w:bCs/>
          <w:iCs/>
          <w:lang w:val="en-US"/>
        </w:rPr>
        <w:t xml:space="preserve"> independently. Thus, they may have more </w:t>
      </w:r>
      <w:r w:rsidRPr="002B2EC9">
        <w:rPr>
          <w:bCs/>
          <w:iCs/>
          <w:lang w:val="en-US"/>
        </w:rPr>
        <w:lastRenderedPageBreak/>
        <w:t>opportunities for co-use. Female patients typically engage with the healthcare system more frequently than men</w:t>
      </w:r>
      <w:r w:rsidR="008E06F1">
        <w:rPr>
          <w:bCs/>
          <w:iCs/>
          <w:lang w:val="en-US"/>
        </w:rPr>
        <w:t xml:space="preserve"> </w:t>
      </w:r>
      <w:r w:rsidR="008E06F1">
        <w:rPr>
          <w:bCs/>
          <w:iCs/>
          <w:lang w:val="en-US"/>
        </w:rPr>
        <w:fldChar w:fldCharType="begin"/>
      </w:r>
      <w:r w:rsidR="008E06F1">
        <w:rPr>
          <w:bCs/>
          <w:iCs/>
          <w:lang w:val="en-US"/>
        </w:rPr>
        <w:instrText xml:space="preserve"> ADDIN ZOTERO_ITEM CSL_CITATION {"citationID":"RrI8Gwu1","properties":{"formattedCitation":"(Shalev et al., 2005; van Wijk et al., 1992)","plainCitation":"(Shalev et al., 2005; van Wijk et al., 1992)","noteIndex":0},"citationItems":[{"id":212,"uris":["http://zotero.org/users/5293367/items/8HHJ3V6X"],"itemData":{"id":212,"type":"article-journal","abstract":"OBJECTIVE: To describe differences in healthcare utilization and health indicators of patients with diabetes, according to gender.\nSTUDY DESIGN: A population-based outcome study conducted on 21,277 diabetic patients between the ages of 45 and 64 years who are members of the second largest health maintenance organization in Israel.\nMETHODS: Data on healthcare utilization (process indicators) and health problems (outcome indicators) were obtained from computerized medical records that are stored routinely by the organization. The study period was the year 2002.\nRESULTS: Significantly (P &lt; 0.05) lower healthcare utilization was observed in men compared with women for all indicators examined (number of visits to physicians and the performance of urine, lipids and creatinine tests). Nonetheless, men showed better health outcomes (lower low-density lipoprotein cholesterol, triglycerides, HbA1c).\nCONCLUSIONS: Women who suffer from diabetes use more healthcare services and have a higher morbidity rate compared with men. Future research should seek to identify the factors contributing to this observation, which can potentially make an important contribution to the development of disease management strategies that target diabetic women.","container-title":"Public Health","DOI":"10.1016/j.puhe.2004.03.004","ISSN":"0033-3506","issue":"1","journalAbbreviation":"Public Health","language":"eng","note":"PMID: 15560901","page":"45-49","source":"PubMed","title":"Gender differences in healthcare utilization and medical indicators among patients with diabetes","volume":"119","author":[{"family":"Shalev","given":"V."},{"family":"Chodick","given":"G."},{"family":"Heymann","given":"A. D."},{"family":"Kokia","given":"E."}],"issued":{"date-parts":[["2005",1]]}}},{"id":216,"uris":["http://zotero.org/users/5293367/items/ZGMA2A6Z"],"itemData":{"id":216,"type":"article-journal","abstract":"Outcomes from large scale health surveys suggest women's morbidity and medical care utilization to be higher than men's. Survey findings have often been questioned on methodological grounds, a main criticism being the subjective nature of the data on which the alleged sex differences are based. Moreover, health differences vary with the type of illness (behavior) that is assessed. Instead of asking subjects about their illness experiences, we performed analyses on data derived from a continuous registration of morbidity as presented in four general practices in the Netherlands. Information was obtained on physician diagnoses of 4723 male and 4963 female patients of all ages enlisted in the four practices from 1984 to 1988. To gain insight in the nature of sex differences, four diagnostic categories were distinguished (sex specific conditions, trauma, symptoms without disease, and prevention and diagnostic). Data on mean number of diagnoses, sex ratio's and proportions of overall morbidity are presented for separate age-groups. In addition, the contribution of each diagnostic category to overall female excess morbidity was computed, for age-groups. Results show that over 40% of the significantly higher overall female morbidity is accounted for by gynaecological and obstetrical diagnoses, and more than a quarter could be explained by prevention and diagnostics. In contrast with the often alleged female excess of ‘vague’ or psychosomatic symptoms, these accounted for less than 20% of the overall sex difference.","container-title":"Social Science &amp; Medicine","DOI":"10.1016/0277-9536(92)90005-B","ISSN":"0277-9536","issue":"5","journalAbbreviation":"Social Science &amp; Medicine","language":"en","page":"665-678","source":"ScienceDirect","title":"Male and female morbidity in general practice: The nature of sex differences","title-short":"Male and female morbidity in general practice","volume":"35","author":[{"family":"Wijk","given":"Cecile M. T. Gijsbers","non-dropping-particle":"van"},{"family":"Kolk","given":"Annemarie M."},{"family":"Den Bosch","given":"Wil J. H. M.","non-dropping-particle":"van"},{"family":"Van Den Hoogen","given":"Henk J. M."}],"issued":{"date-parts":[["1992",9,1]]}}}],"schema":"https://github.com/citation-style-language/schema/raw/master/csl-citation.json"} </w:instrText>
      </w:r>
      <w:r w:rsidR="008E06F1">
        <w:rPr>
          <w:bCs/>
          <w:iCs/>
          <w:lang w:val="en-US"/>
        </w:rPr>
        <w:fldChar w:fldCharType="separate"/>
      </w:r>
      <w:r w:rsidR="008E06F1">
        <w:rPr>
          <w:bCs/>
          <w:iCs/>
          <w:noProof/>
          <w:lang w:val="en-US"/>
        </w:rPr>
        <w:t>(</w:t>
      </w:r>
      <w:r w:rsidR="002106DF">
        <w:rPr>
          <w:bCs/>
          <w:iCs/>
          <w:noProof/>
          <w:lang w:val="en-US"/>
        </w:rPr>
        <w:t>v</w:t>
      </w:r>
      <w:r w:rsidR="008E06F1">
        <w:rPr>
          <w:bCs/>
          <w:iCs/>
          <w:noProof/>
          <w:lang w:val="en-US"/>
        </w:rPr>
        <w:t>an Wijk et al., 1992)</w:t>
      </w:r>
      <w:r w:rsidR="008E06F1">
        <w:rPr>
          <w:bCs/>
          <w:iCs/>
          <w:lang w:val="en-US"/>
        </w:rPr>
        <w:fldChar w:fldCharType="end"/>
      </w:r>
      <w:r w:rsidR="008E06F1">
        <w:rPr>
          <w:bCs/>
          <w:iCs/>
          <w:lang w:val="en-US"/>
        </w:rPr>
        <w:t xml:space="preserve">, </w:t>
      </w:r>
      <w:r w:rsidRPr="002B2EC9">
        <w:rPr>
          <w:bCs/>
          <w:iCs/>
          <w:lang w:val="en-US"/>
        </w:rPr>
        <w:t xml:space="preserve">and special attention should be made to screen women in treatment settings.  </w:t>
      </w:r>
    </w:p>
    <w:p w14:paraId="038F1C24" w14:textId="4242FF5B" w:rsidR="002B2EC9" w:rsidRPr="002B2EC9" w:rsidRDefault="002B2EC9" w:rsidP="008804C5">
      <w:pPr>
        <w:spacing w:before="0" w:line="480" w:lineRule="auto"/>
        <w:ind w:firstLine="720"/>
        <w:contextualSpacing/>
        <w:rPr>
          <w:lang w:val="en-US"/>
        </w:rPr>
      </w:pPr>
      <w:r w:rsidRPr="002B2EC9">
        <w:rPr>
          <w:lang w:val="en-US"/>
        </w:rPr>
        <w:t xml:space="preserve">Utilizing mental healthcare services in the past six months was also significantly associated with opioid and BZD/TRQ co-use in our analysis. While there is little existing evidence on possible links between healthcare utilization and co-use, it is possible that patients obtained their BZD/TRQ prescription during these healthcare visits. Alternatively, these visits may represent patients accessing a mental healthcare provider while receiving BZD/TRQ prescriptions from a primary care provider, and then required further mental health treatment. Psychiatric illnesses such as bipolar disorder and generalized anxiety disorder are associated with increased risk of co-use </w:t>
      </w:r>
      <w:r w:rsidR="008E06F1">
        <w:rPr>
          <w:lang w:val="en-US"/>
        </w:rPr>
        <w:fldChar w:fldCharType="begin"/>
      </w:r>
      <w:r w:rsidR="008E06F1">
        <w:rPr>
          <w:lang w:val="en-US"/>
        </w:rPr>
        <w:instrText xml:space="preserve"> ADDIN ZOTERO_ITEM CSL_CITATION {"citationID":"AdMrqEcD","properties":{"formattedCitation":"(Bouvier et al., 2018)","plainCitation":"(Bouvier et al., 2018)","noteIndex":0},"citationItems":[{"id":129,"uris":["http://zotero.org/users/5293367/items/HUX5T748"],"itemData":{"id":129,"type":"article-journal","abstract":"BACKGROUND: Benzodiazepine use dramatically increases the risk of unintentional overdose among people who use opioids non-medically. However, little is known about the patterns of co-occurring benzodiazepine and opioid use among young adults in the United States.\nMETHODS: The Rhode Island Young Adult Prescription Drug Study (RAPiDS) was a cross-sectional study from January 2015-February 2016. RAPiDS recruited 200 young adults aged 18-29 who reported past 30-day non-medical prescription opioid (NMPO) use. Using Wilcoxon rank sum test and Fisher's exact test, we examined correlates associated with regular prescribed and non-medical use (defined as at least monthly) of benzodiazepines among NMPO users in Rhode Island.\nRESULTS: Among participants, 171 (85.5%) reported lifetime benzodiazepine use and 125 (62.5%) reported regular benzodiazepine use. Nearly all (n=121, 96.8%) reported non-medical use and 43 (34.4%) reported prescribed use. Compared to the 75 participants who did not regularly use benzodiazepines, participants who reported regular use were more likely to be white (66.3% vs. 58.0%, p=0.03), have ever been incarcerated (52.8% vs. 37.3%, p=0.04), and have ever been diagnosed with a psychiatric disorder (bipolar: 29.6% vs. 16.0%, p=0.04; anxiety: 56.8 vs. 36.0%, p=0.01). Although the association was marginally significant, accidental overdose was higher among those who were prescribed the benzodiazepine they used most frequently compared to those who were not (41.9% vs. 24.4%, p=0.06).\nCONCLUSION: Benzodiazepine use and misuse are highly prevalent among young adult NMPO users. Harm reduction and prevention programs for this population are urgently needed.","container-title":"Drug and Alcohol Dependence","DOI":"10.1016/j.drugalcdep.2017.10.023","ISSN":"1879-0046","journalAbbreviation":"Drug Alcohol Depend","language":"eng","note":"PMID: 29241103\nPMCID: PMC5803376","page":"73-77","source":"PubMed","title":"Prevalence and correlates of benzodiazepine use and misuse among young adults who use prescription opioids non-medically","volume":"183","author":[{"family":"Bouvier","given":"Benjamin A."},{"family":"Waye","given":"Katherine M."},{"family":"Elston","given":"Beth"},{"family":"Hadland","given":"Scott E."},{"family":"Green","given":"Traci C."},{"family":"Marshall","given":"Brandon D. L."}],"issued":{"date-parts":[["2018",2,1]]}}}],"schema":"https://github.com/citation-style-language/schema/raw/master/csl-citation.json"} </w:instrText>
      </w:r>
      <w:r w:rsidR="008E06F1">
        <w:rPr>
          <w:lang w:val="en-US"/>
        </w:rPr>
        <w:fldChar w:fldCharType="separate"/>
      </w:r>
      <w:r w:rsidR="008E06F1">
        <w:rPr>
          <w:noProof/>
          <w:lang w:val="en-US"/>
        </w:rPr>
        <w:t>(Bouvier et al., 2018)</w:t>
      </w:r>
      <w:r w:rsidR="008E06F1">
        <w:rPr>
          <w:lang w:val="en-US"/>
        </w:rPr>
        <w:fldChar w:fldCharType="end"/>
      </w:r>
      <w:r w:rsidR="008E06F1">
        <w:rPr>
          <w:lang w:val="en-US"/>
        </w:rPr>
        <w:t>,</w:t>
      </w:r>
      <w:r w:rsidRPr="002B2EC9">
        <w:rPr>
          <w:lang w:val="en-US"/>
        </w:rPr>
        <w:t xml:space="preserve"> and our finding highlights the critical role mental health providers could play in screening and identifying patients at risk for co-use.</w:t>
      </w:r>
    </w:p>
    <w:p w14:paraId="24375437" w14:textId="0FD0568E" w:rsidR="002B2EC9" w:rsidRPr="002B2EC9" w:rsidRDefault="002B2EC9" w:rsidP="008804C5">
      <w:pPr>
        <w:spacing w:before="0" w:line="480" w:lineRule="auto"/>
        <w:ind w:firstLine="720"/>
        <w:contextualSpacing/>
        <w:rPr>
          <w:lang w:val="en-US"/>
        </w:rPr>
      </w:pPr>
      <w:r w:rsidRPr="002B2EC9">
        <w:rPr>
          <w:bCs/>
          <w:iCs/>
          <w:lang w:val="en-US"/>
        </w:rPr>
        <w:t xml:space="preserve">Patients who co-use several drugs may be doing so to potentiate the physiologic effects associated with certain drugs </w:t>
      </w:r>
      <w:r w:rsidR="008E06F1">
        <w:rPr>
          <w:bCs/>
          <w:iCs/>
          <w:lang w:val="en-US"/>
        </w:rPr>
        <w:fldChar w:fldCharType="begin"/>
      </w:r>
      <w:r w:rsidR="008E06F1">
        <w:rPr>
          <w:bCs/>
          <w:iCs/>
          <w:lang w:val="en-US"/>
        </w:rPr>
        <w:instrText xml:space="preserve"> ADDIN ZOTERO_ITEM CSL_CITATION {"citationID":"KHcBRmCk","properties":{"formattedCitation":"(Mateu-Gelabert et al., 2017)","plainCitation":"(Mateu-Gelabert et al., 2017)","noteIndex":0},"citationItems":[{"id":87,"uris":["http://zotero.org/users/5293367/items/5VXLK898"],"itemData":{"id":87,"type":"article-journal","abstract":"Background\nBenzodiazepines are a widely prescribed psychoactive drug; in the U.S., both medical and nonmedical use of benzodiazepines has increased markedly in the past 15 years. Long-term use can lead to tolerance and dependence, and abrupt withdrawal can cause seizures or other life-threatening symptoms. Benzodiazepines are often used nonmedically in conjunction with other drugs, and with opioids in particular—a combination that can increase the risk for fatal and non-fatal overdose. This mixed-methods study examines nonmedical use of benzodiazepines among young adults in New York City and its relationship with opioid use.\nMethods\nFor qualitative analysis, 46 90-minute semi-structured interviews were conducted with young adult opioid users (ages 18–32). Interviews were transcribed and coded for key themes. For quantitative analysis, 464 young adult opioid users (ages 18–29) were recruited using Respondent-Driven Sampling and completed structured interviews. Benzodiazepine use was assessed via a self-report questionnaire that included measures related to nonmedical benzodiazepine and opioid use.\nResults\nParticipants reported using benzodiazepines nonmedically for a wide variety of reasons, including: to increase the high of other drugs; to lessen withdrawal symptoms; and to come down from other drugs. Benzodiazepines were described as readily available and cheap. There was a high prevalence (93%) of nonmedical benzodiazepine use among nonmedical opioid users, with 57% reporting regular nonmedical use. In bivariate analyses, drug-related risk behaviours such as polysubstance use, drug binging, heroin injection and overdose were strongly associated with regular nonmedical benzodiazepine use. In multivariate analysis, growing up in a middle-income household (earning between $51,000 and $100,000 annually), lifetime overdose experience, having ever used cocaine regularly, having ever been prescribed benzodiazepines, recent drug binging, and encouraging fellow drug users to use benzodiazepines to cope with opioid withdrawal were consistently strong predictors of regular nonmedical benzodiazepine use.\nConclusion\nNonmedical benzodiazepine use may be common among nonmedical opioid users due to its drug-related multi-functionality. Harm reduction messages should account for the multiple functions benzodiazepines serve in a drug-using context, and encourage drug users to tailor their endorsement of benzodiazepines to peers to include safer alternatives.","container-title":"International Journal of Drug Policy","DOI":"10.1016/j.drugpo.2017.05.016","ISSN":"0955-3959","journalAbbreviation":"International Journal of Drug Policy","language":"en","page":"17-27","source":"ScienceDirect","title":"High enhancer, downer, withdrawal helper: Multifunctional nonmedical benzodiazepine use among young adult opioid users in New York City","title-short":"High enhancer, downer, withdrawal helper","volume":"46","author":[{"family":"Mateu-Gelabert","given":"Pedro"},{"family":"Jessell","given":"Lauren"},{"family":"Goodbody","given":"Elizabeth"},{"family":"Kim","given":"Dongah"},{"family":"Gile","given":"Krista"},{"family":"Teubl","given":"Jennifer"},{"family":"Syckes","given":"Cassandra"},{"family":"Ruggles","given":"Kelly"},{"family":"Lazar","given":"Jeffrey"},{"family":"Friedman","given":"Sam"},{"family":"Guarino","given":"Honoria"}],"issued":{"date-parts":[["2017",8,1]]}}}],"schema":"https://github.com/citation-style-language/schema/raw/master/csl-citation.json"} </w:instrText>
      </w:r>
      <w:r w:rsidR="008E06F1">
        <w:rPr>
          <w:bCs/>
          <w:iCs/>
          <w:lang w:val="en-US"/>
        </w:rPr>
        <w:fldChar w:fldCharType="separate"/>
      </w:r>
      <w:r w:rsidR="008E06F1">
        <w:rPr>
          <w:bCs/>
          <w:iCs/>
          <w:noProof/>
          <w:lang w:val="en-US"/>
        </w:rPr>
        <w:t>(Mateu-Gelabert et al., 2017)</w:t>
      </w:r>
      <w:r w:rsidR="008E06F1">
        <w:rPr>
          <w:bCs/>
          <w:iCs/>
          <w:lang w:val="en-US"/>
        </w:rPr>
        <w:fldChar w:fldCharType="end"/>
      </w:r>
      <w:r w:rsidR="008E06F1">
        <w:rPr>
          <w:lang w:val="en-US"/>
        </w:rPr>
        <w:t>,</w:t>
      </w:r>
      <w:r w:rsidRPr="002B2EC9">
        <w:rPr>
          <w:lang w:val="en-US"/>
        </w:rPr>
        <w:t xml:space="preserve"> which is seen </w:t>
      </w:r>
      <w:r w:rsidR="00002C84">
        <w:rPr>
          <w:lang w:val="en-US"/>
        </w:rPr>
        <w:t>with</w:t>
      </w:r>
      <w:r w:rsidRPr="002B2EC9">
        <w:rPr>
          <w:lang w:val="en-US"/>
        </w:rPr>
        <w:t xml:space="preserve"> both street drugs as well as select </w:t>
      </w:r>
      <w:r w:rsidR="00C9317F">
        <w:rPr>
          <w:lang w:val="en-US"/>
        </w:rPr>
        <w:t xml:space="preserve">psychoactive </w:t>
      </w:r>
      <w:r w:rsidRPr="002B2EC9">
        <w:rPr>
          <w:lang w:val="en-US"/>
        </w:rPr>
        <w:t xml:space="preserve">prescription medications </w:t>
      </w:r>
      <w:r w:rsidR="008E06F1">
        <w:rPr>
          <w:lang w:val="en-US"/>
        </w:rPr>
        <w:fldChar w:fldCharType="begin"/>
      </w:r>
      <w:r w:rsidR="008E06F1">
        <w:rPr>
          <w:lang w:val="en-US"/>
        </w:rPr>
        <w:instrText xml:space="preserve"> ADDIN ZOTERO_ITEM CSL_CITATION {"citationID":"V2pHLnYZ","properties":{"formattedCitation":"(Applewhite et al., 2020)","plainCitation":"(Applewhite et al., 2020)","noteIndex":0},"citationItems":[{"id":150,"uris":["http://zotero.org/users/5293367/items/SDHHE29F"],"itemData":{"id":150,"type":"article-journal","abstract":"Background: Clonidine, gabapentin, and promethazine are commonly used by people who use opioids, including heroin, raising concern for increased morbidity and mortality in a vulnerable population. We aimed to characterize how and why individuals use opioids in combination with these three psychoactive medications (PAMs). Methods: Participants (n = 103) were a convenience sample of adults attending a syringe service program who reported using a PAM in addition to opioids or opioid agonist therapies (buprenorphine or methadone). Face-to-face structured interviews consisted of closed and open-ended questions. Results: Patterns of PAM use varied. Risky use, including use of high doses and with other sedating medications, was common. Most individuals reported multiple medical reasons for use, even while reporting the PAM had mind-altering effects. Use of high doses of PAMs was associated with a history of overdose. Among those with a history of overdose, 32% reported that a PAM was involved. Conclusion: The use of clonidine, gabapentin and promethazine among individuals who use opioids is complex. Providers should take individualized approaches to PAM prescribing, recognizing both the risks of PAMs and the potential unintended consequences of supply-side interventions in the era of the overdose crisis. Harm reduction interventions are needed to prevent PAM-involved overdoses.","container-title":"International Journal of Drug Policy","DOI":"10.1016/j.drugpo.2020.102752","ISSN":"0955-3959","journalAbbreviation":"International Journal of Drug Policy","language":"en","page":"102752","source":"ScienceDirect","title":"Use of promethazine, gabapentin and clonidine in combination with opioids or opioid agonist therapies among individuals attending a syringe service program","volume":"79","author":[{"family":"Applewhite","given":"Dinah"},{"family":"Regan","given":"Susan"},{"family":"Koenigs","given":"Kathleen"},{"family":"Mackin","given":"Sarah"},{"family":"Schmidt","given":"Clare"},{"family":"Wakeman","given":"Sarah E."}],"issued":{"date-parts":[["2020",5,1]]}}}],"schema":"https://github.com/citation-style-language/schema/raw/master/csl-citation.json"} </w:instrText>
      </w:r>
      <w:r w:rsidR="008E06F1">
        <w:rPr>
          <w:lang w:val="en-US"/>
        </w:rPr>
        <w:fldChar w:fldCharType="separate"/>
      </w:r>
      <w:r w:rsidR="008E06F1">
        <w:rPr>
          <w:noProof/>
          <w:lang w:val="en-US"/>
        </w:rPr>
        <w:t>(Applewhite et al., 2020)</w:t>
      </w:r>
      <w:r w:rsidR="008E06F1">
        <w:rPr>
          <w:lang w:val="en-US"/>
        </w:rPr>
        <w:fldChar w:fldCharType="end"/>
      </w:r>
      <w:r w:rsidR="008E06F1">
        <w:rPr>
          <w:lang w:val="en-US"/>
        </w:rPr>
        <w:t>.</w:t>
      </w:r>
      <w:r w:rsidRPr="002B2EC9">
        <w:rPr>
          <w:lang w:val="en-US"/>
        </w:rPr>
        <w:t xml:space="preserve"> As tolerance to </w:t>
      </w:r>
      <w:r w:rsidR="00C9317F">
        <w:rPr>
          <w:lang w:val="en-US"/>
        </w:rPr>
        <w:t>a drug</w:t>
      </w:r>
      <w:r w:rsidRPr="002B2EC9">
        <w:rPr>
          <w:lang w:val="en-US"/>
        </w:rPr>
        <w:t xml:space="preserve"> </w:t>
      </w:r>
      <w:r w:rsidR="00C9317F">
        <w:rPr>
          <w:lang w:val="en-US"/>
        </w:rPr>
        <w:t>increases</w:t>
      </w:r>
      <w:r w:rsidRPr="002B2EC9">
        <w:rPr>
          <w:lang w:val="en-US"/>
        </w:rPr>
        <w:t xml:space="preserve">, the tendency of some patients to </w:t>
      </w:r>
      <w:r w:rsidR="00C9317F">
        <w:rPr>
          <w:lang w:val="en-US"/>
        </w:rPr>
        <w:t xml:space="preserve">use more </w:t>
      </w:r>
      <w:r w:rsidRPr="002B2EC9">
        <w:rPr>
          <w:lang w:val="en-US"/>
        </w:rPr>
        <w:t>substances to reach a desired effect</w:t>
      </w:r>
      <w:r w:rsidR="00C9317F">
        <w:rPr>
          <w:lang w:val="en-US"/>
        </w:rPr>
        <w:t xml:space="preserve"> may also increase</w:t>
      </w:r>
      <w:r w:rsidRPr="002B2EC9">
        <w:rPr>
          <w:lang w:val="en-US"/>
        </w:rPr>
        <w:t xml:space="preserve">. Our analysis found that daily cocaine and synthetic cannabinoid use were both significantly associated with opioid and BZD/TRQ co-use among our sample. Low education has also been documented as a risk factor for BZD/TRQ use </w:t>
      </w:r>
      <w:r w:rsidR="0015754C">
        <w:rPr>
          <w:lang w:val="en-US"/>
        </w:rPr>
        <w:fldChar w:fldCharType="begin"/>
      </w:r>
      <w:r w:rsidR="0015754C">
        <w:rPr>
          <w:lang w:val="en-US"/>
        </w:rPr>
        <w:instrText xml:space="preserve"> ADDIN ZOTERO_ITEM CSL_CITATION {"citationID":"RmQjARHF","properties":{"formattedCitation":"(Fride Tvete et al., 2015; Sonnenberg et al., 2012)","plainCitation":"(Fride Tvete et al., 2015; Sonnenberg et al., 2012)","noteIndex":0},"citationItems":[{"id":127,"uris":["http://zotero.org/users/5293367/items/4IDT4QCS"],"itemData":{"id":127,"type":"article-journal","abstract":"Objective: To identify risk factors for becoming an excessive user over time.Setting: Prescription database study over five years.Subjects and method: Norwegians between 30 and 60 years with a first dispensation of a benzodiazepine during 2006, encompassing 23 227 individuals. A Cox hazard regression model was defined, initially stratifying on gender, age, county, previous relevant drug dispensations, household income, education level, and vocational rehabilitation support.Main outcome measure: The time from the first redemption until excessive use was defined as using more than two DDDs per day on average within a three-month period.Results: Women’s risk was lower than men’s for excessive use (HR = 0.42, CI 0.35–0.51). Initial oxazepam, alprazolam, or nitrazepam/flunitrazepam use indicated higher risk compared with diazepam (HR = 1.51, CI 1.24–1.85, HR = 2.75, CI 1.54–4.91, HR = 1.67, CI 1.29–2.16). Previous antidepressants or lithium, antipsychotics or opioids, anti-alcohol and smoke cessation treatment indicated a higher risk compared with no such use (HR = 1.4, CI 1.16–1.69, HR = 1.92, CI 1.54–2.4, and HR = 2.88, CI 2–4.15). Higher education and average or high household income were associated with a low risk compared with low education and income (HR = 0.68, CI 0.57–0.81, HR = 0.58, CI 0.46–0.73, and HR = 0.37, CI 0.26–0.54). Working in the private or public sector was associated with a low risk compared with no registered work (HR = 0.53, CI 0.4–0.71 and HR = 0.57, CI 0.45–0.74).Conclusion: The prevalence of excessive use over a five-year observation period was 2.34%. Risk factors were indications of psychiatric illness, first benzodiazepine choice, low income, and education. Excessive users were also characterized by a more severe disease, indicated by having prescription fulfilments by a psychiatrist and by switching benzodiazepines.Key pointsGuidelines state that benzodiazepines should be used for a short time and excessive use indicates drug dependency.Of all new benzodiazepine users 2.34% became excessive users, defined as consuming above two defined daily doses (DDDs) per day on average over three months, within a five-year period.Previous use of other psychotropic drugs, opioids and anti-alcohol and smoke cessation drugs, first benzodiazepine prescribed, low household income, and low education were risk factors for excessive use.Excessive users were characterized by switching benzodiazepines and having prescription fulfilments by a psychiatrist suggesting a more severe disease.","container-title":"Scandinavian Journal of Primary Health Care","DOI":"10.3109/02813432.2015.1117282","ISSN":"0281-3432","issue":"4","note":"publisher: Taylor &amp; Francis\n_eprint: https://doi.org/10.3109/02813432.2015.1117282\nPMID: 26683285","page":"252-259","source":"Taylor and Francis+NEJM","title":"Risk factors for excessive benzodiazepine use in a working age population: a nationwide 5-year survey in Norway","title-short":"Risk factors for excessive benzodiazepine use in a working age population","volume":"33","author":[{"family":"Fride Tvete","given":"Ingunn"},{"family":"Bjørner","given":"Trine"},{"family":"Skomedal","given":"Tor"}],"issued":{"date-parts":[["2015",10,2]]}}},{"id":128,"uris":["http://zotero.org/users/5293367/items/XHWRHJG9"],"itemData":{"id":128,"type":"article-journal","abstract":"In the past decades knowledge on adequate treatment of affective disorders and awareness of the negative consequences of long-term benzodiazepine use increased. Therefore, a decrease in benzodiazepine use is expected, particularly in prolonged use. The aim of this study was to assess time trends in benzodiazepine use.","container-title":"Social Psychiatry and Psychiatric Epidemiology","DOI":"10.1007/s00127-011-0344-1","ISSN":"1433-9285","issue":"2","journalAbbreviation":"Soc Psychiatry Psychiatr Epidemiol","language":"en","page":"293-301","source":"Springer Link","title":"Ten-year trends in benzodiazepine use in the Dutch population","volume":"47","author":[{"family":"Sonnenberg","given":"Caroline M."},{"family":"Bierman","given":"Ellis J. M."},{"family":"Deeg","given":"Dorly J. H."},{"family":"Comijs","given":"Hannie C."},{"family":"Tilburg","given":"Willem","non-dropping-particle":"van"},{"family":"Beekman","given":"Aartjan T. F."}],"issued":{"date-parts":[["2012",2,1]]}}}],"schema":"https://github.com/citation-style-language/schema/raw/master/csl-citation.json"} </w:instrText>
      </w:r>
      <w:r w:rsidR="0015754C">
        <w:rPr>
          <w:lang w:val="en-US"/>
        </w:rPr>
        <w:fldChar w:fldCharType="separate"/>
      </w:r>
      <w:r w:rsidR="0015754C">
        <w:rPr>
          <w:noProof/>
          <w:lang w:val="en-US"/>
        </w:rPr>
        <w:t>(Fride Tvete et al., 2015</w:t>
      </w:r>
      <w:r w:rsidR="002106DF">
        <w:rPr>
          <w:noProof/>
          <w:lang w:val="en-US"/>
        </w:rPr>
        <w:t>)</w:t>
      </w:r>
      <w:r w:rsidR="0015754C">
        <w:rPr>
          <w:lang w:val="en-US"/>
        </w:rPr>
        <w:fldChar w:fldCharType="end"/>
      </w:r>
      <w:r w:rsidR="0015754C">
        <w:rPr>
          <w:lang w:val="en-US"/>
        </w:rPr>
        <w:t>,</w:t>
      </w:r>
      <w:r w:rsidRPr="002B2EC9">
        <w:rPr>
          <w:lang w:val="en-US"/>
        </w:rPr>
        <w:t xml:space="preserve"> and is reflected in our results. This may be due to stress related to economic hardship, which may be exacerbated for PWUD as low education is often experienced in conjunction with other structural vulnerabilities, such as housing insecurity </w:t>
      </w:r>
      <w:r w:rsidR="0015754C">
        <w:rPr>
          <w:lang w:val="en-US"/>
        </w:rPr>
        <w:fldChar w:fldCharType="begin"/>
      </w:r>
      <w:r w:rsidR="0015754C">
        <w:rPr>
          <w:lang w:val="en-US"/>
        </w:rPr>
        <w:instrText xml:space="preserve"> ADDIN ZOTERO_ITEM CSL_CITATION {"citationID":"s6TJHfTZ","properties":{"formattedCitation":"(Schneider et al., 2019)","plainCitation":"(Schneider et al., 2019)","noteIndex":0},"citationItems":[{"id":139,"uris":["http://zotero.org/users/5293367/items/SGJ2QI6T"],"itemData":{"id":139,"type":"article-journal","abstract":"Background\nOpioid-related overdose rates continue to climb. However, little research has examined the reach of overdose education and naloxone trainings among people who inject drugs (PWID). Understanding gaps in coverage is essential to improving the public health response to the ongoing crisis.\nMethods\nWe surveyed 298 PWID in Baltimore City, MD. We conducted a latent class analysis of drug use indicators and tested for differences by class in past month overdose, having received overdose training, and currently having naloxone.\nResults\nThree classes emerged: cocaine/heroin injection (40.2%), heroin only injection (32.2%), and multi-drug/multi-route use (27.6%). The prevalence of past month overdose differed marginally by class (p = 0.06), with the multi-drug/multi-route use class having the highest prevalence (22.5%) and the heroin only class having the lowest (4.6%). The prevalence of previous overdose training differed significantly by class (p = 0.02), with the heroin/cocaine class (76.5%) having more training than the other two classes. Training was least common amongst the multi-drug/multi-route class (60.3%), though not statistically different from the heroin only class (63.0%). Classes did not differ significantly in current naloxone possession, although the multi-drug/multi-route class exhibited the lowest prevalence of naloxone possession (37.2%).\nConclusions\nPeople who inject multiple substances are at high risk for overdose and are also the least likely to receive overdose trainings. The current service landscape does not adequately reach individuals with high levels of structural vulnerability and high levels of drug use and homelessness. Actively including this subgroup into harm reduction efforts are essential for preventing overdose fatalities.","container-title":"Drug and Alcohol Dependence","DOI":"10.1016/j.drugalcdep.2019.03.026","ISSN":"0376-8716","journalAbbreviation":"Drug and Alcohol Dependence","language":"en","page":"71-77","source":"ScienceDirect","title":"Patterns of polysubstance use and overdose among people who inject drugs in Baltimore, Maryland: A latent class analysis","title-short":"Patterns of polysubstance use and overdose among people who inject drugs in Baltimore, Maryland","volume":"201","author":[{"family":"Schneider","given":"Kristin E."},{"family":"Park","given":"Ju Nyeong"},{"family":"Allen","given":"Sean T."},{"family":"Weir","given":"Brian W."},{"family":"Sherman","given":"Susan G."}],"issued":{"date-parts":[["2019",8,1]]}}}],"schema":"https://github.com/citation-style-language/schema/raw/master/csl-citation.json"} </w:instrText>
      </w:r>
      <w:r w:rsidR="0015754C">
        <w:rPr>
          <w:lang w:val="en-US"/>
        </w:rPr>
        <w:fldChar w:fldCharType="separate"/>
      </w:r>
      <w:r w:rsidR="0015754C">
        <w:rPr>
          <w:noProof/>
          <w:lang w:val="en-US"/>
        </w:rPr>
        <w:t>(Schneider et al., 2019)</w:t>
      </w:r>
      <w:r w:rsidR="0015754C">
        <w:rPr>
          <w:lang w:val="en-US"/>
        </w:rPr>
        <w:fldChar w:fldCharType="end"/>
      </w:r>
      <w:r w:rsidR="0015754C">
        <w:rPr>
          <w:lang w:val="en-US"/>
        </w:rPr>
        <w:t>.</w:t>
      </w:r>
    </w:p>
    <w:p w14:paraId="0644A985" w14:textId="691945AF" w:rsidR="002B2EC9" w:rsidRPr="002B2EC9" w:rsidRDefault="002B2EC9" w:rsidP="008804C5">
      <w:pPr>
        <w:spacing w:before="0" w:line="480" w:lineRule="auto"/>
        <w:ind w:firstLine="720"/>
        <w:contextualSpacing/>
        <w:rPr>
          <w:lang w:val="en-US"/>
        </w:rPr>
      </w:pPr>
      <w:r w:rsidRPr="002B2EC9">
        <w:rPr>
          <w:lang w:val="en-US"/>
        </w:rPr>
        <w:t xml:space="preserve">BZD/TRQ prescriptions act as a linkage to the healthcare system, providing an opportunity for patients to interface with clinicians. Identifying factors associated with co-use </w:t>
      </w:r>
      <w:r w:rsidRPr="002B2EC9">
        <w:rPr>
          <w:lang w:val="en-US"/>
        </w:rPr>
        <w:lastRenderedPageBreak/>
        <w:t xml:space="preserve">helps clinicians better identify patients at highest risk in their practice. However, the identification of these patients is predicated on the assumption that patients will be forthcoming about non-prescription opioid use. PWUO often choose not to disclose their substance use histories to their providers </w:t>
      </w:r>
      <w:r w:rsidR="0015754C">
        <w:rPr>
          <w:lang w:val="en-US"/>
        </w:rPr>
        <w:fldChar w:fldCharType="begin"/>
      </w:r>
      <w:r w:rsidR="0015754C">
        <w:rPr>
          <w:lang w:val="en-US"/>
        </w:rPr>
        <w:instrText xml:space="preserve"> ADDIN ZOTERO_ITEM CSL_CITATION {"citationID":"yvcPZIph","properties":{"formattedCitation":"(Pearce et al., 2020)","plainCitation":"(Pearce et al., 2020)","noteIndex":0},"citationItems":[{"id":131,"uris":["http://zotero.org/users/5293367/items/E5R6X3V7"],"itemData":{"id":131,"type":"article-journal","abstract":"Background\nIllicit drug use is associated with severe health-related harms, yet people who use drugs (PWUD) face substantial barriers to healthcare. We sought to identify factors associated with disclosure of drug use to a healthcare provider and describe differences in self-reported quality of care received based on disclosure status.\nMethods\nA client-reported experience questionnaire on healthcare access and quality, adapted from the World Health Organization Survey on Health and Health System Responsiveness, was administered within two ongoing prospective cohort studies of PWUD in Vancouver, Canada. Respondents not currently receiving addiction treatment were asked about experience of care and drug use disclosure to their most commonly accessed outpatient healthcare provider in the past 6 months. We used an adjusted logistic regression model to identify client characteristics associated with disclosure.\nResults\nFrom a total of 261 respondents (34.1% female), less than half (n = 125, 47.8%) reported disclosing drug use to their healthcare provider. Indigenous participants were less likely to disclose compared to non-Indigenous participants (adjusted OR: 0.55, 95% confidence interval: 0.30, 0.97). Disclosure was associated with lower self-reported quality of care (overall rating: disclosed 8.2 vs. did not disclose 8.8, p = 0.04).\nConclusions\nIn a sample of PWUD accessing outpatient healthcare services, we observed low rates of drug use disclosure, particularly for Indigenous respondents, and reduced quality of care for those who disclosed. These findings highlight the need for culturally safe and non-stigmatizing care to address pervasive stereotyping in the healthcare system and improved screening for substance use disorder in outpatient healthcare services.","container-title":"International Journal of Drug Policy","DOI":"10.1016/j.drugpo.2020.102873","ISSN":"0955-3959","journalAbbreviation":"International Journal of Drug Policy","language":"en","page":"102873","source":"ScienceDirect","title":"Non-disclosure of drug use in outpatient health care settings: Findings from a prospective cohort study in Vancouver, Canada","title-short":"Non-disclosure of drug use in outpatient health care settings","volume":"84","author":[{"family":"Pearce","given":"Lindsay A"},{"family":"Homayra","given":"Fahmida"},{"family":"Dale","given":"Laura M"},{"family":"Moallef","given":"Soroush"},{"family":"Barker","given":"Brittany"},{"family":"Norton","given":"Alexa"},{"family":"Hayashi","given":"Kanna"},{"family":"Nosyk","given":"Bohdan"}],"issued":{"date-parts":[["2020",10,1]]}}}],"schema":"https://github.com/citation-style-language/schema/raw/master/csl-citation.json"} </w:instrText>
      </w:r>
      <w:r w:rsidR="0015754C">
        <w:rPr>
          <w:lang w:val="en-US"/>
        </w:rPr>
        <w:fldChar w:fldCharType="separate"/>
      </w:r>
      <w:r w:rsidR="0015754C">
        <w:rPr>
          <w:noProof/>
          <w:lang w:val="en-US"/>
        </w:rPr>
        <w:t>(Pearce et al., 2020)</w:t>
      </w:r>
      <w:r w:rsidR="0015754C">
        <w:rPr>
          <w:lang w:val="en-US"/>
        </w:rPr>
        <w:fldChar w:fldCharType="end"/>
      </w:r>
      <w:r w:rsidR="0015754C">
        <w:rPr>
          <w:lang w:val="en-US"/>
        </w:rPr>
        <w:t>,</w:t>
      </w:r>
      <w:r w:rsidRPr="002B2EC9">
        <w:rPr>
          <w:lang w:val="en-US"/>
        </w:rPr>
        <w:t xml:space="preserve"> and may delay or avoid accessing care due to experienced or anticipated stigma and discrimination from healthcare providers </w:t>
      </w:r>
      <w:r w:rsidR="0015754C">
        <w:rPr>
          <w:lang w:val="en-US"/>
        </w:rPr>
        <w:fldChar w:fldCharType="begin"/>
      </w:r>
      <w:r w:rsidR="0015754C">
        <w:rPr>
          <w:lang w:val="en-US"/>
        </w:rPr>
        <w:instrText xml:space="preserve"> ADDIN ZOTERO_ITEM CSL_CITATION {"citationID":"ibjjJMfy","properties":{"formattedCitation":"(Lloyd, 2013; Paquette et al., 2018)","plainCitation":"(Lloyd, 2013; Paquette et al., 2018)","noteIndex":0},"citationItems":[{"id":221,"uris":["http://zotero.org/users/5293367/items/IG7UZXW7"],"itemData":{"id":221,"type":"article-journal","abstract":"Background: A stigma is a long-lasting mark of social disgrace that has a profound effect on interactions between the stigmatized and the unstigmatized. Factors governing the extent of stigmatization attached to an individual include the perceived danger posed by that person and the extent to which she/he is seen as being to blame for the stigma.Methods: Systematic database searches identified 185 papers for inclusion in the review, all of which were read and findings analysed and compared.Results: Stigmatizing attitudes towards problem drug users (PDUs) are common among the general public and non-specialist professionals. The impact on users is profound and represents a significant barrier to recovery. Reasons for this extreme stigmatization include negative reactions to injecting and widespread attributions concerning danger and blame. Advocacy and practice responses include challenging media language and stereotypes, encouraging public figures to speak out about their personal experiences, improved training for non-specialist staff and greater contact between PDUs and the public.Conclusion: Stigmatization has a profound effect on PDUs’ lives and their chances of recovery. Efforts need to be made to diminish inflated fears about users and help people to understand that PDUs are not simply and solely ‘to blame’ for their condition.","container-title":"Drugs: Education, Prevention and Policy","DOI":"10.3109/09687637.2012.743506","ISSN":"0968-7637","issue":"2","note":"publisher: Taylor &amp; Francis\n_eprint: https://doi.org/10.3109/09687637.2012.743506","page":"85-95","source":"Taylor and Francis+NEJM","title":"The stigmatization of problem drug users: A narrative literature review","title-short":"The stigmatization of problem drug users","volume":"20","author":[{"family":"Lloyd","given":"Charlie"}],"issued":{"date-parts":[["2013",4,1]]}}},{"id":225,"uris":["http://zotero.org/users/5293367/items/JY89EFDV"],"itemData":{"id":225,"type":"article-journal","abstract":"BACKGROUND: People who inject drugs (PWID) encounter varying forms of stigma in health services contexts, which can contribute to adverse outcomes. We explored the lived experience of stigma among PWID to elucidate pathways by which stigma influences health care access and utilization.\nMETHODS: We conducted 46 qualitative interviews with PWID in California's Central Valley between March and December 2015, as part of a multi-phase, multi-method study examining implementation of a new pharmacy syringe access law. A \"risk environment\" framework guided our data collection and we used a deductive/inductive approach to analyze the qualitative data.\nRESULTS: Participants repeatedly cited the impact of stigma on syringe access, particularly in the context of meso-level pharmacist interactions. They described being denied syringe purchase as stigmatizing and embarrassing, and these experiences discouraged them from attempting to purchase syringes under the new pharmacy access law. Participants described feeling similarly stigmatized in their meso-level interactions with first responders and hospital staff, and associated this stigmatization with delayed and substandard medical care for overdoses and injection-related infections. Drug treatment was another area where stigma operated against PWID's health interests; participants described macro-level public stigma towards methadone (e.g., equating methadone treatment with illicit drug use) as discouraging participation in this evidence-based treatment modality and justifying exclusion of methadone patients from recovery support services like sober living and Narcotics Anonymous.\nCONCLUSION: Stigma played an undeniably important role in PWID's experiences with health services access and utilization in the Central Valley. Our study illustrates the need to develop and test interventions that target drug use stigma at both structural and individual levels to minimize adverse effects on PWID health.","container-title":"The International Journal on Drug Policy","DOI":"10.1016/j.drugpo.2018.04.004","ISSN":"1873-4758","journalAbbreviation":"Int J Drug Policy","language":"eng","note":"PMID: 29715589\nPMCID: PMC5994194","page":"104-110","source":"PubMed","title":"Stigma at every turn: Health services experiences among people who inject drugs","title-short":"Stigma at every turn","volume":"57","author":[{"family":"Paquette","given":"Catherine E."},{"family":"Syvertsen","given":"Jennifer L."},{"family":"Pollini","given":"Robin A."}],"issued":{"date-parts":[["2018",7]]}}}],"schema":"https://github.com/citation-style-language/schema/raw/master/csl-citation.json"} </w:instrText>
      </w:r>
      <w:r w:rsidR="0015754C">
        <w:rPr>
          <w:lang w:val="en-US"/>
        </w:rPr>
        <w:fldChar w:fldCharType="separate"/>
      </w:r>
      <w:r w:rsidR="0015754C">
        <w:rPr>
          <w:noProof/>
          <w:lang w:val="en-US"/>
        </w:rPr>
        <w:t>(Paquette et al., 2018)</w:t>
      </w:r>
      <w:r w:rsidR="0015754C">
        <w:rPr>
          <w:lang w:val="en-US"/>
        </w:rPr>
        <w:fldChar w:fldCharType="end"/>
      </w:r>
      <w:r w:rsidR="0015754C">
        <w:rPr>
          <w:lang w:val="en-US"/>
        </w:rPr>
        <w:t>.</w:t>
      </w:r>
      <w:r w:rsidRPr="002B2EC9">
        <w:rPr>
          <w:lang w:val="en-US"/>
        </w:rPr>
        <w:t xml:space="preserve"> Patients receiving BZD/TRQ prescriptions may be particularly prone to non-disclosure for fear of clinical abandonment or retaliation by the provider, given increasing awareness of the risks for lethal overdose and increased prescription monitoring. To this end, clinicians should be intentional about adopting non-stigmatizing language when engaging with patients who may be at risk for co-use, as this may lead to trust-based disclosure of risky behaviors that could be addressed through counseling and potential intervention. Once identified, patients who co-use may benefit from harm-reduction counseling and interventions that mitigate the risk of fatal overdose, such as counseling on safer methods of co-use (e.g., using with others, carrying naloxone, using test shots if injecting, using fentanyl test strips) and receive training on naloxone administration. It is important for clinicians to explicitly address the risks of fatal overdose associated with co-use. </w:t>
      </w:r>
    </w:p>
    <w:p w14:paraId="001DFC7E" w14:textId="1FE5727E" w:rsidR="002B2EC9" w:rsidRPr="002B2EC9" w:rsidRDefault="002B2EC9" w:rsidP="008804C5">
      <w:pPr>
        <w:spacing w:before="0" w:line="480" w:lineRule="auto"/>
        <w:ind w:firstLine="720"/>
        <w:contextualSpacing/>
        <w:rPr>
          <w:lang w:val="en-US"/>
        </w:rPr>
      </w:pPr>
      <w:r w:rsidRPr="002B2EC9">
        <w:rPr>
          <w:lang w:val="en-US"/>
        </w:rPr>
        <w:t xml:space="preserve">We caution against an interpretation that would lead clinicians to unequivocally reduce their prescription of BZD/TRQ for patients who are monitored and clinically benefit from their use. Although not without both short- and long-term risks, BZD/TRQ have clinical utility when </w:t>
      </w:r>
      <w:r w:rsidR="00951FC1">
        <w:rPr>
          <w:lang w:val="en-US"/>
        </w:rPr>
        <w:t xml:space="preserve">judiciously </w:t>
      </w:r>
      <w:r w:rsidRPr="002B2EC9">
        <w:rPr>
          <w:lang w:val="en-US"/>
        </w:rPr>
        <w:t xml:space="preserve">prescribed to patients with panic disorder or other anxiety disorders refractory to treatment </w:t>
      </w:r>
      <w:r w:rsidR="0015754C">
        <w:rPr>
          <w:lang w:val="en-US"/>
        </w:rPr>
        <w:fldChar w:fldCharType="begin"/>
      </w:r>
      <w:r w:rsidR="0015754C">
        <w:rPr>
          <w:lang w:val="en-US"/>
        </w:rPr>
        <w:instrText xml:space="preserve"> ADDIN ZOTERO_ITEM CSL_CITATION {"citationID":"Njb3eu61","properties":{"formattedCitation":"(American Psychiatric Association, 1998)","plainCitation":"(American Psychiatric Association, 1998)","noteIndex":0},"citationItems":[{"id":227,"uris":["http://zotero.org/users/5293367/items/YYPELCQM"],"itemData":{"id":227,"type":"article-journal","container-title":"American Psychiatric Association Practice Guidelines","source":"Google Scholar","title":"Practice Guideline for the Treatment of Patients with Panic Disorders","author":[{"family":"American Psychiatric Association","given":""}],"issued":{"date-parts":[["1998"]]}}}],"schema":"https://github.com/citation-style-language/schema/raw/master/csl-citation.json"} </w:instrText>
      </w:r>
      <w:r w:rsidR="0015754C">
        <w:rPr>
          <w:lang w:val="en-US"/>
        </w:rPr>
        <w:fldChar w:fldCharType="separate"/>
      </w:r>
      <w:r w:rsidR="0015754C">
        <w:rPr>
          <w:noProof/>
          <w:lang w:val="en-US"/>
        </w:rPr>
        <w:t>(American Psychiatric Association, 1998)</w:t>
      </w:r>
      <w:r w:rsidR="0015754C">
        <w:rPr>
          <w:lang w:val="en-US"/>
        </w:rPr>
        <w:fldChar w:fldCharType="end"/>
      </w:r>
      <w:r w:rsidR="0015754C">
        <w:rPr>
          <w:lang w:val="en-US"/>
        </w:rPr>
        <w:t>,</w:t>
      </w:r>
      <w:r w:rsidRPr="002B2EC9">
        <w:rPr>
          <w:lang w:val="en-US"/>
        </w:rPr>
        <w:t xml:space="preserve"> which are often co-morbid with substance use disorders (SUDs) </w:t>
      </w:r>
      <w:r w:rsidR="0015754C">
        <w:rPr>
          <w:lang w:val="en-US"/>
        </w:rPr>
        <w:fldChar w:fldCharType="begin"/>
      </w:r>
      <w:r w:rsidR="0015754C">
        <w:rPr>
          <w:lang w:val="en-US"/>
        </w:rPr>
        <w:instrText xml:space="preserve"> ADDIN ZOTERO_ITEM CSL_CITATION {"citationID":"Jq7w4Bfj","properties":{"formattedCitation":"(Martins et al., 2012)","plainCitation":"(Martins et al., 2012)","noteIndex":0},"citationItems":[{"id":230,"uris":["http://zotero.org/users/5293367/items/MSEB3F86"],"itemData":{"id":230,"type":"article-journal","abstract":"BACKGROUND: Non-medical use of prescription opioids represents a national public health concern of growing importance. Mood and anxiety disorders are highly associated with non-medical prescription opioid use. The authors examined longitudinal associations between non-medical prescription opioid use and opioid disorder due to non-medical opioid use and mood/anxiety disorders in a national sample, examining evidence for precipitation, self-medication and general shared vulnerability as pathways between disorders.\nMETHOD: Data were drawn from face-to-face surveys of 34 653 adult participants in waves 1 and 2 of the National Epidemiologic Survey on Alcohol and Related Conditions. Logistic regression models explored the temporal sequence and evidence for the hypothesized pathways.\nRESULTS: Baseline lifetime non-medical prescription opioid use was associated with incidence of any mood disorder, major depressive disorder (MDD), bipolar disorder, any anxiety disorder and generalized anxiety disorder (GAD in wave 2, adjusted for baseline demographics, other substance use, and co-morbid mood/anxiety disorders). Lifetime opioid disorder was not associated with any incident mood/anxiety disorders. All baseline lifetime mood disorders and GAD were associated with incident non-medical prescription opioid use at follow-up, adjusted for demographics, co-morbid mood/anxiety disorders, and other substance use. Baseline lifetime mood disorders, MDD, dysthymia and panic disorder were associated with incident opioid disorder due to non-medical prescription opioid use at follow-up, adjusted for the same covariates.\nCONCLUSIONS: These results suggest that precipitation, self-medication as well as shared vulnerability are all viable pathways between non-medical prescription opioid use and opioid disorder due to non-medical opioid use and mood/anxiety disorders.","container-title":"Psychological Medicine","DOI":"10.1017/S0033291711002145","ISSN":"1469-8978","issue":"6","journalAbbreviation":"Psychol Med","language":"eng","note":"PMID: 21999943\nPMCID: PMC3513363","page":"1261-1272","source":"PubMed","title":"Mood and anxiety disorders and their association with non-medical prescription opioid use and prescription opioid-use disorder: longitudinal evidence from the National Epidemiologic Study on Alcohol and Related Conditions","title-short":"Mood and anxiety disorders and their association with non-medical prescription opioid use and prescription opioid-use disorder","volume":"42","author":[{"family":"Martins","given":"S. S."},{"family":"Fenton","given":"M. C."},{"family":"Keyes","given":"K. M."},{"family":"Blanco","given":"C."},{"family":"Zhu","given":"H."},{"family":"Storr","given":"C. L."}],"issued":{"date-parts":[["2012",6]]}}}],"schema":"https://github.com/citation-style-language/schema/raw/master/csl-citation.json"} </w:instrText>
      </w:r>
      <w:r w:rsidR="0015754C">
        <w:rPr>
          <w:lang w:val="en-US"/>
        </w:rPr>
        <w:fldChar w:fldCharType="separate"/>
      </w:r>
      <w:r w:rsidR="0015754C">
        <w:rPr>
          <w:noProof/>
          <w:lang w:val="en-US"/>
        </w:rPr>
        <w:t>(Martins et al., 2012)</w:t>
      </w:r>
      <w:r w:rsidR="0015754C">
        <w:rPr>
          <w:lang w:val="en-US"/>
        </w:rPr>
        <w:fldChar w:fldCharType="end"/>
      </w:r>
      <w:r w:rsidR="0015754C">
        <w:rPr>
          <w:lang w:val="en-US"/>
        </w:rPr>
        <w:t>.</w:t>
      </w:r>
      <w:r w:rsidRPr="002B2EC9">
        <w:rPr>
          <w:lang w:val="en-US"/>
        </w:rPr>
        <w:t xml:space="preserve"> Rather, clinical judgement should be used to identify which, if any, patients would benefit from </w:t>
      </w:r>
      <w:r w:rsidR="00951FC1">
        <w:rPr>
          <w:lang w:val="en-US"/>
        </w:rPr>
        <w:t xml:space="preserve">sensible </w:t>
      </w:r>
      <w:r w:rsidRPr="002B2EC9">
        <w:rPr>
          <w:lang w:val="en-US"/>
        </w:rPr>
        <w:t xml:space="preserve">BZD/TRQ </w:t>
      </w:r>
      <w:r w:rsidR="004872EE" w:rsidRPr="002B2EC9">
        <w:rPr>
          <w:lang w:val="en-US"/>
        </w:rPr>
        <w:t>prescription,</w:t>
      </w:r>
      <w:r w:rsidRPr="002B2EC9">
        <w:rPr>
          <w:lang w:val="en-US"/>
        </w:rPr>
        <w:t xml:space="preserve"> and </w:t>
      </w:r>
      <w:r w:rsidR="007A6D90">
        <w:rPr>
          <w:lang w:val="en-US"/>
        </w:rPr>
        <w:t xml:space="preserve">an effort should be made to </w:t>
      </w:r>
      <w:r w:rsidRPr="002B2EC9">
        <w:rPr>
          <w:lang w:val="en-US"/>
        </w:rPr>
        <w:t xml:space="preserve">consistently screen these patients for co-use with appropriate counseling. </w:t>
      </w:r>
    </w:p>
    <w:p w14:paraId="125DFDA3" w14:textId="4500DE21" w:rsidR="00A8220D" w:rsidRPr="00416657" w:rsidRDefault="00CB1F88" w:rsidP="00A119E2">
      <w:pPr>
        <w:spacing w:before="0" w:line="480" w:lineRule="auto"/>
        <w:contextualSpacing/>
        <w:rPr>
          <w:b/>
          <w:lang w:val="en-US"/>
        </w:rPr>
      </w:pPr>
      <w:r>
        <w:rPr>
          <w:b/>
          <w:lang w:val="en-US"/>
        </w:rPr>
        <w:lastRenderedPageBreak/>
        <w:t xml:space="preserve">4.1 </w:t>
      </w:r>
      <w:r w:rsidR="00A8220D" w:rsidRPr="00416657">
        <w:rPr>
          <w:b/>
          <w:lang w:val="en-US"/>
        </w:rPr>
        <w:t>Limitations</w:t>
      </w:r>
    </w:p>
    <w:p w14:paraId="6788281D" w14:textId="5C99A177" w:rsidR="008804C5" w:rsidRPr="00416657" w:rsidRDefault="008804C5" w:rsidP="000F49EF">
      <w:pPr>
        <w:spacing w:before="0" w:line="480" w:lineRule="auto"/>
        <w:ind w:firstLine="720"/>
        <w:contextualSpacing/>
        <w:rPr>
          <w:lang w:val="en-US"/>
        </w:rPr>
      </w:pPr>
      <w:r w:rsidRPr="002B2EC9">
        <w:rPr>
          <w:lang w:val="en-US"/>
        </w:rPr>
        <w:t>This exploratory study has several limitations. Data were self-reported, cross-sectional and from a non-representative sample. Additionally, our co-use outcome measure was constructed using a variable that captured use of prescription benzodiazepines</w:t>
      </w:r>
      <w:r w:rsidR="00002C84">
        <w:rPr>
          <w:lang w:val="en-US"/>
        </w:rPr>
        <w:t>/</w:t>
      </w:r>
      <w:r w:rsidRPr="002B2EC9">
        <w:rPr>
          <w:lang w:val="en-US"/>
        </w:rPr>
        <w:t>tranquilizers as a single measure rather than as separate measures. Although</w:t>
      </w:r>
      <w:r w:rsidR="00D013F4">
        <w:rPr>
          <w:lang w:val="en-US"/>
        </w:rPr>
        <w:t xml:space="preserve"> there is literature </w:t>
      </w:r>
      <w:r w:rsidR="00002C84">
        <w:rPr>
          <w:lang w:val="en-US"/>
        </w:rPr>
        <w:t>demonstrating</w:t>
      </w:r>
      <w:r w:rsidR="00D013F4">
        <w:rPr>
          <w:lang w:val="en-US"/>
        </w:rPr>
        <w:t xml:space="preserve"> a colloquial understanding of TRQs as referring</w:t>
      </w:r>
      <w:r w:rsidR="00896736">
        <w:rPr>
          <w:lang w:val="en-US"/>
        </w:rPr>
        <w:t xml:space="preserve"> primarily</w:t>
      </w:r>
      <w:r w:rsidR="00D013F4">
        <w:rPr>
          <w:lang w:val="en-US"/>
        </w:rPr>
        <w:t xml:space="preserve"> to BZDs</w:t>
      </w:r>
      <w:r w:rsidRPr="002B2EC9">
        <w:rPr>
          <w:lang w:val="en-US"/>
        </w:rPr>
        <w:t>, tranquilizers</w:t>
      </w:r>
      <w:r w:rsidR="00D013F4">
        <w:rPr>
          <w:lang w:val="en-US"/>
        </w:rPr>
        <w:t xml:space="preserve"> </w:t>
      </w:r>
      <w:r w:rsidR="00896736">
        <w:rPr>
          <w:lang w:val="en-US"/>
        </w:rPr>
        <w:t xml:space="preserve">do </w:t>
      </w:r>
      <w:r w:rsidR="00002C84">
        <w:rPr>
          <w:lang w:val="en-US"/>
        </w:rPr>
        <w:t>historically</w:t>
      </w:r>
      <w:r w:rsidRPr="002B2EC9">
        <w:rPr>
          <w:lang w:val="en-US"/>
        </w:rPr>
        <w:t xml:space="preserve"> encompass a broader category of medications that include antipsychotics</w:t>
      </w:r>
      <w:r w:rsidR="00002C84">
        <w:rPr>
          <w:lang w:val="en-US"/>
        </w:rPr>
        <w:t>. While it would be unlikely</w:t>
      </w:r>
      <w:r w:rsidR="00896736">
        <w:rPr>
          <w:lang w:val="en-US"/>
        </w:rPr>
        <w:t xml:space="preserve"> for participants to affirm TRQ use if they were exclusively using antipsychotics, it is possible, and this class of medication has a </w:t>
      </w:r>
      <w:r w:rsidRPr="002B2EC9">
        <w:rPr>
          <w:lang w:val="en-US"/>
        </w:rPr>
        <w:t>different risk profile when co-used with opioids. Additionally, it is possible that study participants interpreted TRQ to reflect barbiturates (</w:t>
      </w:r>
      <w:r w:rsidR="004872EE" w:rsidRPr="002B2EC9">
        <w:rPr>
          <w:lang w:val="en-US"/>
        </w:rPr>
        <w:t>e.g.,</w:t>
      </w:r>
      <w:r w:rsidRPr="002B2EC9">
        <w:rPr>
          <w:lang w:val="en-US"/>
        </w:rPr>
        <w:t xml:space="preserve"> phenobarbital) and sedative-hypnotics (e.g.</w:t>
      </w:r>
      <w:r w:rsidR="004872EE">
        <w:rPr>
          <w:lang w:val="en-US"/>
        </w:rPr>
        <w:t>,</w:t>
      </w:r>
      <w:r w:rsidRPr="002B2EC9">
        <w:rPr>
          <w:lang w:val="en-US"/>
        </w:rPr>
        <w:t xml:space="preserve"> zolpidem, or Ambien)</w:t>
      </w:r>
      <w:r w:rsidR="00896736">
        <w:rPr>
          <w:lang w:val="en-US"/>
        </w:rPr>
        <w:t>, which may have a different risk profile when co-used with opioids</w:t>
      </w:r>
      <w:r w:rsidRPr="002B2EC9">
        <w:rPr>
          <w:lang w:val="en-US"/>
        </w:rPr>
        <w:t xml:space="preserve">. </w:t>
      </w:r>
      <w:r w:rsidR="000F49EF">
        <w:rPr>
          <w:lang w:val="en-US"/>
        </w:rPr>
        <w:t>I</w:t>
      </w:r>
      <w:r w:rsidR="0088024E">
        <w:rPr>
          <w:lang w:val="en-US"/>
        </w:rPr>
        <w:t xml:space="preserve">t is </w:t>
      </w:r>
      <w:r w:rsidR="000F49EF">
        <w:rPr>
          <w:lang w:val="en-US"/>
        </w:rPr>
        <w:t xml:space="preserve">also </w:t>
      </w:r>
      <w:r w:rsidR="0088024E">
        <w:rPr>
          <w:lang w:val="en-US"/>
        </w:rPr>
        <w:t xml:space="preserve">important to acknowledge that this study does not </w:t>
      </w:r>
      <w:r w:rsidR="000F49EF">
        <w:rPr>
          <w:lang w:val="en-US"/>
        </w:rPr>
        <w:t>differentiate between patients who co-used prescribed BZD/TRQs and prescribed opioids</w:t>
      </w:r>
      <w:r w:rsidR="002808F8">
        <w:rPr>
          <w:lang w:val="en-US"/>
        </w:rPr>
        <w:t xml:space="preserve"> that were prescribed by the same provider</w:t>
      </w:r>
      <w:r w:rsidR="00896736">
        <w:rPr>
          <w:lang w:val="en-US"/>
        </w:rPr>
        <w:t xml:space="preserve"> from </w:t>
      </w:r>
      <w:r w:rsidR="000F49EF">
        <w:rPr>
          <w:lang w:val="en-US"/>
        </w:rPr>
        <w:t>those w</w:t>
      </w:r>
      <w:r w:rsidR="002808F8">
        <w:rPr>
          <w:lang w:val="en-US"/>
        </w:rPr>
        <w:t xml:space="preserve">ho accessed </w:t>
      </w:r>
      <w:r w:rsidR="000F49EF">
        <w:rPr>
          <w:lang w:val="en-US"/>
        </w:rPr>
        <w:t xml:space="preserve">different </w:t>
      </w:r>
      <w:r w:rsidR="002808F8">
        <w:rPr>
          <w:lang w:val="en-US"/>
        </w:rPr>
        <w:t>providers</w:t>
      </w:r>
      <w:r w:rsidR="00896736">
        <w:rPr>
          <w:lang w:val="en-US"/>
        </w:rPr>
        <w:t xml:space="preserve"> or</w:t>
      </w:r>
      <w:r w:rsidR="002808F8">
        <w:rPr>
          <w:lang w:val="en-US"/>
        </w:rPr>
        <w:t xml:space="preserve"> those who</w:t>
      </w:r>
      <w:r w:rsidR="000F49EF">
        <w:rPr>
          <w:lang w:val="en-US"/>
        </w:rPr>
        <w:t xml:space="preserve"> </w:t>
      </w:r>
      <w:r w:rsidR="002808F8">
        <w:rPr>
          <w:lang w:val="en-US"/>
        </w:rPr>
        <w:t xml:space="preserve">accessed prescribed BZD/TRQs </w:t>
      </w:r>
      <w:r w:rsidR="00896736">
        <w:rPr>
          <w:lang w:val="en-US"/>
        </w:rPr>
        <w:t>but</w:t>
      </w:r>
      <w:r w:rsidR="002808F8">
        <w:rPr>
          <w:lang w:val="en-US"/>
        </w:rPr>
        <w:t xml:space="preserve"> non-prescribed opioids. </w:t>
      </w:r>
      <w:r w:rsidR="000F49EF">
        <w:rPr>
          <w:lang w:val="en-US"/>
        </w:rPr>
        <w:t xml:space="preserve">This would </w:t>
      </w:r>
      <w:r w:rsidR="002808F8">
        <w:rPr>
          <w:lang w:val="en-US"/>
        </w:rPr>
        <w:t xml:space="preserve">have been </w:t>
      </w:r>
      <w:r w:rsidR="000F49EF">
        <w:rPr>
          <w:lang w:val="en-US"/>
        </w:rPr>
        <w:t xml:space="preserve">useful to identify, as </w:t>
      </w:r>
      <w:r w:rsidR="002808F8">
        <w:rPr>
          <w:lang w:val="en-US"/>
        </w:rPr>
        <w:t>there</w:t>
      </w:r>
      <w:r w:rsidR="00896736">
        <w:rPr>
          <w:lang w:val="en-US"/>
        </w:rPr>
        <w:t xml:space="preserve"> may </w:t>
      </w:r>
      <w:r w:rsidR="002808F8">
        <w:rPr>
          <w:lang w:val="en-US"/>
        </w:rPr>
        <w:t xml:space="preserve">be different </w:t>
      </w:r>
      <w:r w:rsidR="00896736">
        <w:rPr>
          <w:lang w:val="en-US"/>
        </w:rPr>
        <w:t xml:space="preserve">clinical </w:t>
      </w:r>
      <w:r w:rsidR="002808F8">
        <w:rPr>
          <w:lang w:val="en-US"/>
        </w:rPr>
        <w:t>implications based on the different clinical scenarios</w:t>
      </w:r>
      <w:r w:rsidR="000F49EF">
        <w:rPr>
          <w:lang w:val="en-US"/>
        </w:rPr>
        <w:t xml:space="preserve">. </w:t>
      </w:r>
      <w:r w:rsidRPr="002B2EC9">
        <w:rPr>
          <w:lang w:val="en-US"/>
        </w:rPr>
        <w:t xml:space="preserve">Another limitation in </w:t>
      </w:r>
      <w:r w:rsidR="00896736">
        <w:rPr>
          <w:lang w:val="en-US"/>
        </w:rPr>
        <w:t>the</w:t>
      </w:r>
      <w:r w:rsidRPr="002B2EC9">
        <w:rPr>
          <w:lang w:val="en-US"/>
        </w:rPr>
        <w:t xml:space="preserve"> study is the way </w:t>
      </w:r>
      <w:r w:rsidR="00896736">
        <w:rPr>
          <w:lang w:val="en-US"/>
        </w:rPr>
        <w:t>co-use was</w:t>
      </w:r>
      <w:r w:rsidRPr="002B2EC9">
        <w:rPr>
          <w:lang w:val="en-US"/>
        </w:rPr>
        <w:t xml:space="preserve"> operationalized as using opioids and BZD/TRQ in the same day, but did not specify concurrent use (</w:t>
      </w:r>
      <w:r w:rsidR="004872EE" w:rsidRPr="002B2EC9">
        <w:rPr>
          <w:lang w:val="en-US"/>
        </w:rPr>
        <w:t>e.g.,</w:t>
      </w:r>
      <w:r w:rsidRPr="002B2EC9">
        <w:rPr>
          <w:lang w:val="en-US"/>
        </w:rPr>
        <w:t xml:space="preserve"> at the exact same time)</w:t>
      </w:r>
      <w:r w:rsidR="00F05390">
        <w:rPr>
          <w:lang w:val="en-US"/>
        </w:rPr>
        <w:t>, which may have identified patients at higher risk of overdose.</w:t>
      </w:r>
      <w:r w:rsidRPr="002B2EC9">
        <w:rPr>
          <w:lang w:val="en-US"/>
        </w:rPr>
        <w:t xml:space="preserve"> Definitions of co-use vary greatly from study to study, and a common definition of opioid and BZD co-use is needed. Replication is needed to continue the characterizing of factors associated with opioid and BZD/TRQ co-use. Finally, there is a misalignment between the recall period of the screener variable (non-medical opioid use in the past month), outcome variable (co-use in the past 3 months), and exposures (past 3 months, past 6 months). </w:t>
      </w:r>
    </w:p>
    <w:p w14:paraId="0C6323B3" w14:textId="00E015C5" w:rsidR="00A8220D" w:rsidRDefault="00CB1F88" w:rsidP="00A119E2">
      <w:pPr>
        <w:spacing w:before="0" w:line="480" w:lineRule="auto"/>
        <w:contextualSpacing/>
        <w:rPr>
          <w:b/>
          <w:lang w:val="en-US"/>
        </w:rPr>
      </w:pPr>
      <w:r>
        <w:rPr>
          <w:b/>
          <w:lang w:val="en-US"/>
        </w:rPr>
        <w:lastRenderedPageBreak/>
        <w:t xml:space="preserve">4.2 </w:t>
      </w:r>
      <w:r w:rsidR="00A8220D" w:rsidRPr="00416657">
        <w:rPr>
          <w:b/>
          <w:lang w:val="en-US"/>
        </w:rPr>
        <w:t xml:space="preserve">Conclusions </w:t>
      </w:r>
    </w:p>
    <w:p w14:paraId="621C331D" w14:textId="6B0F1420" w:rsidR="00A8220D" w:rsidRDefault="003B5D0E" w:rsidP="005C0C01">
      <w:pPr>
        <w:spacing w:before="0" w:line="480" w:lineRule="auto"/>
        <w:ind w:firstLine="720"/>
        <w:contextualSpacing/>
        <w:rPr>
          <w:bCs/>
          <w:lang w:val="en-US"/>
        </w:rPr>
      </w:pPr>
      <w:r>
        <w:rPr>
          <w:bCs/>
          <w:lang w:val="en-US"/>
        </w:rPr>
        <w:t>While it is common practice for c</w:t>
      </w:r>
      <w:r w:rsidR="008804C5" w:rsidRPr="008804C5">
        <w:rPr>
          <w:bCs/>
          <w:lang w:val="en-US"/>
        </w:rPr>
        <w:t>linicians prescribing</w:t>
      </w:r>
      <w:r w:rsidR="00FD54F0">
        <w:rPr>
          <w:bCs/>
          <w:lang w:val="en-US"/>
        </w:rPr>
        <w:t xml:space="preserve"> benzodiazepines </w:t>
      </w:r>
      <w:r w:rsidR="00C8566C">
        <w:rPr>
          <w:bCs/>
          <w:lang w:val="en-US"/>
        </w:rPr>
        <w:t xml:space="preserve">and opioids </w:t>
      </w:r>
      <w:r>
        <w:rPr>
          <w:bCs/>
          <w:lang w:val="en-US"/>
        </w:rPr>
        <w:t>to</w:t>
      </w:r>
      <w:r w:rsidR="008804C5" w:rsidRPr="008804C5">
        <w:rPr>
          <w:bCs/>
          <w:lang w:val="en-US"/>
        </w:rPr>
        <w:t xml:space="preserve"> screen all patients for </w:t>
      </w:r>
      <w:r w:rsidR="00000FE1">
        <w:rPr>
          <w:bCs/>
          <w:lang w:val="en-US"/>
        </w:rPr>
        <w:t>co-use</w:t>
      </w:r>
      <w:r>
        <w:rPr>
          <w:bCs/>
          <w:lang w:val="en-US"/>
        </w:rPr>
        <w:t xml:space="preserve">, our </w:t>
      </w:r>
      <w:r w:rsidRPr="008804C5">
        <w:rPr>
          <w:bCs/>
          <w:lang w:val="en-US"/>
        </w:rPr>
        <w:t xml:space="preserve">findings </w:t>
      </w:r>
      <w:r>
        <w:rPr>
          <w:bCs/>
          <w:lang w:val="en-US"/>
        </w:rPr>
        <w:t xml:space="preserve">have implications for clinical practice by </w:t>
      </w:r>
      <w:r w:rsidRPr="008804C5">
        <w:rPr>
          <w:bCs/>
          <w:lang w:val="en-US"/>
        </w:rPr>
        <w:t>suggest</w:t>
      </w:r>
      <w:r>
        <w:rPr>
          <w:bCs/>
          <w:lang w:val="en-US"/>
        </w:rPr>
        <w:t>ing</w:t>
      </w:r>
      <w:r w:rsidRPr="008804C5">
        <w:rPr>
          <w:bCs/>
          <w:lang w:val="en-US"/>
        </w:rPr>
        <w:t xml:space="preserve"> </w:t>
      </w:r>
      <w:r>
        <w:rPr>
          <w:bCs/>
          <w:lang w:val="en-US"/>
        </w:rPr>
        <w:t xml:space="preserve">that </w:t>
      </w:r>
      <w:r w:rsidR="00000FE1">
        <w:rPr>
          <w:bCs/>
          <w:lang w:val="en-US"/>
        </w:rPr>
        <w:t>thorough</w:t>
      </w:r>
      <w:r w:rsidRPr="008804C5">
        <w:rPr>
          <w:bCs/>
          <w:lang w:val="en-US"/>
        </w:rPr>
        <w:t xml:space="preserve"> screening </w:t>
      </w:r>
      <w:r>
        <w:rPr>
          <w:bCs/>
          <w:lang w:val="en-US"/>
        </w:rPr>
        <w:t>should be done in</w:t>
      </w:r>
      <w:r w:rsidRPr="008804C5">
        <w:rPr>
          <w:bCs/>
          <w:lang w:val="en-US"/>
        </w:rPr>
        <w:t xml:space="preserve"> </w:t>
      </w:r>
      <w:r>
        <w:rPr>
          <w:bCs/>
          <w:lang w:val="en-US"/>
        </w:rPr>
        <w:t xml:space="preserve">patients </w:t>
      </w:r>
      <w:r w:rsidR="00000FE1">
        <w:rPr>
          <w:bCs/>
          <w:lang w:val="en-US"/>
        </w:rPr>
        <w:t>lacking a high school degree/GED</w:t>
      </w:r>
      <w:r w:rsidRPr="008804C5">
        <w:rPr>
          <w:bCs/>
          <w:lang w:val="en-US"/>
        </w:rPr>
        <w:t xml:space="preserve">, </w:t>
      </w:r>
      <w:r w:rsidR="00000FE1">
        <w:rPr>
          <w:bCs/>
          <w:lang w:val="en-US"/>
        </w:rPr>
        <w:t>patients who recently received</w:t>
      </w:r>
      <w:r w:rsidRPr="008804C5">
        <w:rPr>
          <w:bCs/>
          <w:lang w:val="en-US"/>
        </w:rPr>
        <w:t xml:space="preserve"> mental health treatment</w:t>
      </w:r>
      <w:r w:rsidR="00000FE1">
        <w:rPr>
          <w:bCs/>
          <w:lang w:val="en-US"/>
        </w:rPr>
        <w:t xml:space="preserve"> of any kind</w:t>
      </w:r>
      <w:r w:rsidRPr="008804C5">
        <w:rPr>
          <w:bCs/>
          <w:lang w:val="en-US"/>
        </w:rPr>
        <w:t xml:space="preserve">, </w:t>
      </w:r>
      <w:r w:rsidR="00FD54F0">
        <w:rPr>
          <w:bCs/>
          <w:lang w:val="en-US"/>
        </w:rPr>
        <w:t>and</w:t>
      </w:r>
      <w:r w:rsidRPr="008804C5">
        <w:rPr>
          <w:bCs/>
          <w:lang w:val="en-US"/>
        </w:rPr>
        <w:t xml:space="preserve"> </w:t>
      </w:r>
      <w:r w:rsidR="00000FE1">
        <w:rPr>
          <w:bCs/>
          <w:lang w:val="en-US"/>
        </w:rPr>
        <w:t xml:space="preserve">patients </w:t>
      </w:r>
      <w:r w:rsidRPr="008804C5">
        <w:rPr>
          <w:bCs/>
          <w:lang w:val="en-US"/>
        </w:rPr>
        <w:t>who use</w:t>
      </w:r>
      <w:r w:rsidR="00000FE1">
        <w:rPr>
          <w:bCs/>
          <w:lang w:val="en-US"/>
        </w:rPr>
        <w:t xml:space="preserve"> </w:t>
      </w:r>
      <w:r w:rsidRPr="008804C5">
        <w:rPr>
          <w:bCs/>
          <w:lang w:val="en-US"/>
        </w:rPr>
        <w:t xml:space="preserve">cocaine </w:t>
      </w:r>
      <w:r w:rsidR="00000FE1">
        <w:rPr>
          <w:bCs/>
          <w:lang w:val="en-US"/>
        </w:rPr>
        <w:t xml:space="preserve">or </w:t>
      </w:r>
      <w:r w:rsidRPr="008804C5">
        <w:rPr>
          <w:bCs/>
          <w:lang w:val="en-US"/>
        </w:rPr>
        <w:t>synthetic cannabinoids</w:t>
      </w:r>
      <w:r w:rsidR="00000FE1">
        <w:rPr>
          <w:bCs/>
          <w:lang w:val="en-US"/>
        </w:rPr>
        <w:t xml:space="preserve"> daily</w:t>
      </w:r>
      <w:r>
        <w:rPr>
          <w:bCs/>
          <w:lang w:val="en-US"/>
        </w:rPr>
        <w:t xml:space="preserve">. </w:t>
      </w:r>
      <w:r w:rsidR="00C8566C">
        <w:rPr>
          <w:bCs/>
          <w:lang w:val="en-US"/>
        </w:rPr>
        <w:t>Our findings suggest these</w:t>
      </w:r>
      <w:r w:rsidRPr="008804C5">
        <w:rPr>
          <w:bCs/>
          <w:lang w:val="en-US"/>
        </w:rPr>
        <w:t xml:space="preserve"> patients may be at increased risk for co-use</w:t>
      </w:r>
      <w:r w:rsidR="00FD54F0">
        <w:rPr>
          <w:bCs/>
          <w:lang w:val="en-US"/>
        </w:rPr>
        <w:t xml:space="preserve"> </w:t>
      </w:r>
      <w:r w:rsidRPr="008804C5">
        <w:rPr>
          <w:bCs/>
          <w:lang w:val="en-US"/>
        </w:rPr>
        <w:t xml:space="preserve">with opioids, </w:t>
      </w:r>
      <w:r w:rsidR="00000FE1">
        <w:rPr>
          <w:bCs/>
          <w:lang w:val="en-US"/>
        </w:rPr>
        <w:t xml:space="preserve">and </w:t>
      </w:r>
      <w:r>
        <w:rPr>
          <w:bCs/>
          <w:lang w:val="en-US"/>
        </w:rPr>
        <w:t>thereby</w:t>
      </w:r>
      <w:r w:rsidRPr="008804C5">
        <w:rPr>
          <w:bCs/>
          <w:lang w:val="en-US"/>
        </w:rPr>
        <w:t xml:space="preserve"> </w:t>
      </w:r>
      <w:r w:rsidR="00000FE1">
        <w:rPr>
          <w:bCs/>
          <w:lang w:val="en-US"/>
        </w:rPr>
        <w:t xml:space="preserve">at </w:t>
      </w:r>
      <w:r w:rsidRPr="008804C5">
        <w:rPr>
          <w:bCs/>
          <w:lang w:val="en-US"/>
        </w:rPr>
        <w:t>increas</w:t>
      </w:r>
      <w:r w:rsidR="00000FE1">
        <w:rPr>
          <w:bCs/>
          <w:lang w:val="en-US"/>
        </w:rPr>
        <w:t>ed</w:t>
      </w:r>
      <w:r w:rsidRPr="008804C5">
        <w:rPr>
          <w:bCs/>
          <w:lang w:val="en-US"/>
        </w:rPr>
        <w:t xml:space="preserve"> risk for fatal overdose.</w:t>
      </w:r>
    </w:p>
    <w:p w14:paraId="3C83FF7E" w14:textId="7D8F840B" w:rsidR="005C0C01" w:rsidRDefault="005C0C01" w:rsidP="005C0C01">
      <w:pPr>
        <w:spacing w:before="0" w:line="480" w:lineRule="auto"/>
        <w:ind w:firstLine="720"/>
        <w:contextualSpacing/>
        <w:rPr>
          <w:bCs/>
          <w:lang w:val="en-US"/>
        </w:rPr>
      </w:pPr>
    </w:p>
    <w:p w14:paraId="05C994BC" w14:textId="0B6DC675" w:rsidR="005C0C01" w:rsidRDefault="005C0C01" w:rsidP="005C0C01">
      <w:pPr>
        <w:spacing w:before="0" w:line="480" w:lineRule="auto"/>
        <w:ind w:firstLine="720"/>
        <w:contextualSpacing/>
        <w:rPr>
          <w:bCs/>
          <w:lang w:val="en-US"/>
        </w:rPr>
      </w:pPr>
    </w:p>
    <w:p w14:paraId="0D63232A" w14:textId="59FD3B70" w:rsidR="005C0C01" w:rsidRDefault="005C0C01" w:rsidP="005C0C01">
      <w:pPr>
        <w:spacing w:before="0" w:line="480" w:lineRule="auto"/>
        <w:ind w:firstLine="720"/>
        <w:contextualSpacing/>
        <w:rPr>
          <w:bCs/>
          <w:lang w:val="en-US"/>
        </w:rPr>
      </w:pPr>
    </w:p>
    <w:p w14:paraId="62DE2010" w14:textId="6697F661" w:rsidR="005C0C01" w:rsidRDefault="005C0C01" w:rsidP="005C0C01">
      <w:pPr>
        <w:spacing w:before="0" w:line="480" w:lineRule="auto"/>
        <w:ind w:firstLine="720"/>
        <w:contextualSpacing/>
        <w:rPr>
          <w:bCs/>
          <w:lang w:val="en-US"/>
        </w:rPr>
      </w:pPr>
    </w:p>
    <w:p w14:paraId="6ED3DE72" w14:textId="7DE8C3FE" w:rsidR="005C0C01" w:rsidRDefault="005C0C01" w:rsidP="005C0C01">
      <w:pPr>
        <w:spacing w:before="0" w:line="480" w:lineRule="auto"/>
        <w:ind w:firstLine="720"/>
        <w:contextualSpacing/>
        <w:rPr>
          <w:bCs/>
          <w:lang w:val="en-US"/>
        </w:rPr>
      </w:pPr>
    </w:p>
    <w:p w14:paraId="65B3E6E0" w14:textId="77C74029" w:rsidR="005C0C01" w:rsidRDefault="005C0C01" w:rsidP="005C0C01">
      <w:pPr>
        <w:spacing w:before="0" w:line="480" w:lineRule="auto"/>
        <w:ind w:firstLine="720"/>
        <w:contextualSpacing/>
        <w:rPr>
          <w:bCs/>
          <w:lang w:val="en-US"/>
        </w:rPr>
      </w:pPr>
    </w:p>
    <w:p w14:paraId="31F55464" w14:textId="7A544244" w:rsidR="005C0C01" w:rsidRDefault="005C0C01" w:rsidP="005C0C01">
      <w:pPr>
        <w:spacing w:before="0" w:line="480" w:lineRule="auto"/>
        <w:ind w:firstLine="720"/>
        <w:contextualSpacing/>
        <w:rPr>
          <w:bCs/>
          <w:lang w:val="en-US"/>
        </w:rPr>
      </w:pPr>
    </w:p>
    <w:p w14:paraId="0D7F2E0E" w14:textId="1FBA60C4" w:rsidR="005C0C01" w:rsidRDefault="005C0C01" w:rsidP="005C0C01">
      <w:pPr>
        <w:spacing w:before="0" w:line="480" w:lineRule="auto"/>
        <w:ind w:firstLine="720"/>
        <w:contextualSpacing/>
        <w:rPr>
          <w:bCs/>
          <w:lang w:val="en-US"/>
        </w:rPr>
      </w:pPr>
    </w:p>
    <w:p w14:paraId="4C1EFE98" w14:textId="09DDD980" w:rsidR="005C0C01" w:rsidRDefault="005C0C01" w:rsidP="005C0C01">
      <w:pPr>
        <w:spacing w:before="0" w:line="480" w:lineRule="auto"/>
        <w:ind w:firstLine="720"/>
        <w:contextualSpacing/>
        <w:rPr>
          <w:bCs/>
          <w:lang w:val="en-US"/>
        </w:rPr>
      </w:pPr>
    </w:p>
    <w:p w14:paraId="1EEDB9C0" w14:textId="1224E15F" w:rsidR="005C0C01" w:rsidRDefault="005C0C01" w:rsidP="005C0C01">
      <w:pPr>
        <w:spacing w:before="0" w:line="480" w:lineRule="auto"/>
        <w:ind w:firstLine="720"/>
        <w:contextualSpacing/>
        <w:rPr>
          <w:bCs/>
          <w:lang w:val="en-US"/>
        </w:rPr>
      </w:pPr>
    </w:p>
    <w:p w14:paraId="2BE6A19A" w14:textId="31BA3A3B" w:rsidR="005C0C01" w:rsidRDefault="005C0C01" w:rsidP="005C0C01">
      <w:pPr>
        <w:spacing w:before="0" w:line="480" w:lineRule="auto"/>
        <w:ind w:firstLine="720"/>
        <w:contextualSpacing/>
        <w:rPr>
          <w:bCs/>
          <w:lang w:val="en-US"/>
        </w:rPr>
      </w:pPr>
    </w:p>
    <w:p w14:paraId="5058B110" w14:textId="383A8DE6" w:rsidR="005C0C01" w:rsidRDefault="005C0C01" w:rsidP="005C0C01">
      <w:pPr>
        <w:spacing w:before="0" w:line="480" w:lineRule="auto"/>
        <w:ind w:firstLine="720"/>
        <w:contextualSpacing/>
        <w:rPr>
          <w:bCs/>
          <w:lang w:val="en-US"/>
        </w:rPr>
      </w:pPr>
    </w:p>
    <w:p w14:paraId="39628AFE" w14:textId="517E8D7C" w:rsidR="005C0C01" w:rsidRDefault="005C0C01" w:rsidP="005C0C01">
      <w:pPr>
        <w:spacing w:before="0" w:line="480" w:lineRule="auto"/>
        <w:ind w:firstLine="720"/>
        <w:contextualSpacing/>
        <w:rPr>
          <w:bCs/>
          <w:lang w:val="en-US"/>
        </w:rPr>
      </w:pPr>
    </w:p>
    <w:p w14:paraId="7F06BC90" w14:textId="1325E394" w:rsidR="005C0C01" w:rsidRDefault="005C0C01" w:rsidP="005C0C01">
      <w:pPr>
        <w:spacing w:before="0" w:line="480" w:lineRule="auto"/>
        <w:ind w:firstLine="720"/>
        <w:contextualSpacing/>
        <w:rPr>
          <w:bCs/>
          <w:lang w:val="en-US"/>
        </w:rPr>
      </w:pPr>
    </w:p>
    <w:p w14:paraId="2F98613C" w14:textId="0B58F8B6" w:rsidR="005C0C01" w:rsidRDefault="005C0C01" w:rsidP="005C0C01">
      <w:pPr>
        <w:spacing w:before="0" w:line="480" w:lineRule="auto"/>
        <w:ind w:firstLine="720"/>
        <w:contextualSpacing/>
        <w:rPr>
          <w:bCs/>
          <w:lang w:val="en-US"/>
        </w:rPr>
      </w:pPr>
    </w:p>
    <w:p w14:paraId="6F4A054D" w14:textId="21056823" w:rsidR="005C0C01" w:rsidRDefault="005C0C01" w:rsidP="005C0C01">
      <w:pPr>
        <w:spacing w:before="0" w:line="480" w:lineRule="auto"/>
        <w:ind w:firstLine="720"/>
        <w:contextualSpacing/>
        <w:rPr>
          <w:bCs/>
          <w:lang w:val="en-US"/>
        </w:rPr>
      </w:pPr>
    </w:p>
    <w:p w14:paraId="6778D982" w14:textId="77777777" w:rsidR="005C0C01" w:rsidRPr="005C0C01" w:rsidRDefault="005C0C01" w:rsidP="005C0C01">
      <w:pPr>
        <w:spacing w:before="0" w:line="480" w:lineRule="auto"/>
        <w:ind w:firstLine="720"/>
        <w:contextualSpacing/>
        <w:rPr>
          <w:bCs/>
          <w:lang w:val="en-US"/>
        </w:rPr>
      </w:pPr>
    </w:p>
    <w:p w14:paraId="6EE1C882" w14:textId="77777777" w:rsidR="00A8220D" w:rsidRPr="00416657" w:rsidRDefault="00A8220D" w:rsidP="004C3F13">
      <w:pPr>
        <w:spacing w:before="0" w:line="480" w:lineRule="auto"/>
        <w:contextualSpacing/>
        <w:jc w:val="center"/>
        <w:rPr>
          <w:b/>
          <w:lang w:val="en-US"/>
        </w:rPr>
      </w:pPr>
      <w:r w:rsidRPr="00416657">
        <w:rPr>
          <w:b/>
          <w:lang w:val="en-US"/>
        </w:rPr>
        <w:lastRenderedPageBreak/>
        <w:t>References</w:t>
      </w:r>
    </w:p>
    <w:p w14:paraId="72187E73" w14:textId="77777777" w:rsidR="000208EE" w:rsidRPr="000208EE" w:rsidRDefault="00342782" w:rsidP="000208EE">
      <w:pPr>
        <w:pStyle w:val="Bibliography"/>
      </w:pPr>
      <w:r>
        <w:t xml:space="preserve"> </w:t>
      </w:r>
      <w:r w:rsidR="00452E52">
        <w:fldChar w:fldCharType="begin"/>
      </w:r>
      <w:r w:rsidR="00452E52">
        <w:instrText xml:space="preserve"> ADDIN ZOTERO_BIBL {"uncited":[],"omitted":[],"custom":[]} CSL_BIBLIOGRAPHY </w:instrText>
      </w:r>
      <w:r w:rsidR="00452E52">
        <w:fldChar w:fldCharType="separate"/>
      </w:r>
      <w:r w:rsidR="000208EE" w:rsidRPr="000208EE">
        <w:t>Agarwal, S.D., Landon, B.E., 2019. Patterns in Outpatient Benzodiazepine Prescribing in the United States. JAMA Network Open 2, e187399–e187399. https://doi.org/10.1001/jamanetworkopen.2018.7399</w:t>
      </w:r>
    </w:p>
    <w:p w14:paraId="30B7EF8C" w14:textId="77777777" w:rsidR="000208EE" w:rsidRPr="000208EE" w:rsidRDefault="000208EE" w:rsidP="000208EE">
      <w:pPr>
        <w:pStyle w:val="Bibliography"/>
      </w:pPr>
      <w:r w:rsidRPr="000208EE">
        <w:t>American Psychiatric Association, 1998. Practice Guideline for the Treatment of Patients with Panic Disorders. American Psychiatric Association Practice Guidelines.</w:t>
      </w:r>
    </w:p>
    <w:p w14:paraId="1B6DABBF" w14:textId="77777777" w:rsidR="000208EE" w:rsidRPr="000208EE" w:rsidRDefault="000208EE" w:rsidP="000208EE">
      <w:pPr>
        <w:pStyle w:val="Bibliography"/>
      </w:pPr>
      <w:r w:rsidRPr="000208EE">
        <w:t>Applewhite, D., Regan, S., Koenigs, K., Mackin, S., Schmidt, C., Wakeman, S.E., 2020. Use of promethazine, gabapentin and clonidine in combination with opioids or opioid agonist therapies among individuals attending a syringe service program. International Journal of Drug Policy 79, 102752. https://doi.org/10.1016/j.drugpo.2020.102752</w:t>
      </w:r>
    </w:p>
    <w:p w14:paraId="3423B583" w14:textId="77777777" w:rsidR="000208EE" w:rsidRPr="000208EE" w:rsidRDefault="000208EE" w:rsidP="000208EE">
      <w:pPr>
        <w:pStyle w:val="Bibliography"/>
      </w:pPr>
      <w:r w:rsidRPr="000208EE">
        <w:t>Behar, E., Bagnulo, R., Coffin, P.O., 2018. Acceptability and feasibility of naloxone prescribing in primary care settings: A systematic review. Prev Med 114, 79–87. https://doi.org/10.1016/j.ypmed.2018.06.005</w:t>
      </w:r>
    </w:p>
    <w:p w14:paraId="58F7450B" w14:textId="77777777" w:rsidR="000208EE" w:rsidRPr="000208EE" w:rsidRDefault="000208EE" w:rsidP="000208EE">
      <w:pPr>
        <w:pStyle w:val="Bibliography"/>
      </w:pPr>
      <w:r w:rsidRPr="000208EE">
        <w:t>Bouvier, B.A., Waye, K.M., Elston, B., Hadland, S.E., Green, T.C., Marshall, B.D.L., 2018. Prevalence and correlates of benzodiazepine use and misuse among young adults who use prescription opioids non-medically. Drug Alcohol Depend 183, 73–77. https://doi.org/10.1016/j.drugalcdep.2017.10.023</w:t>
      </w:r>
    </w:p>
    <w:p w14:paraId="2120AAC3" w14:textId="77777777" w:rsidR="000208EE" w:rsidRPr="000208EE" w:rsidRDefault="000208EE" w:rsidP="000208EE">
      <w:pPr>
        <w:pStyle w:val="Bibliography"/>
      </w:pPr>
      <w:r w:rsidRPr="000208EE">
        <w:t>Campbell, C.I., Weisner, C., LeResche, L., Ray, G.T., Saunders, K., Sullivan, M.D., Banta-Green, C.J., Merrill, J.O., Silverberg, M.J., Boudreau, D., Satre, D.D., Von Korff, M., 2010. Age and Gender Trends in Long-Term Opioid Analgesic Use for Noncancer Pain. Am J Public Health 100, 2541–2547. https://doi.org/10.2105/AJPH.2009.180646</w:t>
      </w:r>
    </w:p>
    <w:p w14:paraId="7D43C6AA" w14:textId="77777777" w:rsidR="000208EE" w:rsidRPr="000208EE" w:rsidRDefault="000208EE" w:rsidP="000208EE">
      <w:pPr>
        <w:pStyle w:val="Bibliography"/>
      </w:pPr>
      <w:r w:rsidRPr="000208EE">
        <w:t>Carpenter, W.T., Davis, J.M., 2012. Another view of the history of antipsychotic drug discovery and development. Mol Psychiatry 17, 1168–1173. https://doi.org/10.1038/mp.2012.121</w:t>
      </w:r>
    </w:p>
    <w:p w14:paraId="2C296111" w14:textId="77777777" w:rsidR="000208EE" w:rsidRPr="000208EE" w:rsidRDefault="000208EE" w:rsidP="000208EE">
      <w:pPr>
        <w:pStyle w:val="Bibliography"/>
      </w:pPr>
      <w:r w:rsidRPr="000208EE">
        <w:t>Centers for Disease Control and Prevention, 2021. Drug Overdose Deaths in the U.S. Up 30% in 2020 [WWW Document]. URL https://www.cdc.gov/nchs/pressroom/nchs_press_releases/2021/20210714.htm (accessed 10.14.21).</w:t>
      </w:r>
    </w:p>
    <w:p w14:paraId="4A7DA603" w14:textId="77777777" w:rsidR="000208EE" w:rsidRPr="000208EE" w:rsidRDefault="000208EE" w:rsidP="000208EE">
      <w:pPr>
        <w:pStyle w:val="Bibliography"/>
      </w:pPr>
      <w:r w:rsidRPr="000208EE">
        <w:t>Chen, K.W., Berger, C.C., Forde, D.P., D’Adamo, C., Weintraub, E., Gandhi, D., 2011. Benzodiazepine use and misuse among patients in a methadone program. BMC Psychiatry 11, 90. https://doi.org/10.1186/1471-244X-11-90</w:t>
      </w:r>
    </w:p>
    <w:p w14:paraId="51569CF4" w14:textId="77777777" w:rsidR="000208EE" w:rsidRPr="000208EE" w:rsidRDefault="000208EE" w:rsidP="000208EE">
      <w:pPr>
        <w:pStyle w:val="Bibliography"/>
      </w:pPr>
      <w:r w:rsidRPr="000208EE">
        <w:t>Ciccarone, D., 2019. The triple wave epidemic: Supply and demand drivers of the US opioid overdose crisis. Int J Drug Policy 71, 183–188. https://doi.org/10.1016/j.drugpo.2019.01.010</w:t>
      </w:r>
    </w:p>
    <w:p w14:paraId="023512CB" w14:textId="77777777" w:rsidR="000208EE" w:rsidRPr="000208EE" w:rsidRDefault="000208EE" w:rsidP="000208EE">
      <w:pPr>
        <w:pStyle w:val="Bibliography"/>
      </w:pPr>
      <w:r w:rsidRPr="000208EE">
        <w:t>Cropsey, K.L., Stevens, E.N., Valera, P., Brendan Clark, C., Bulls, H.W., Nair, P., Lane, P.S., 2015. Risk factors for concurrent use of benzodiazepines and opioids among individuals under community corrections supervision. Drug and Alcohol Dependence 154, 152–157. https://doi.org/10.1016/j.drugalcdep.2015.06.038</w:t>
      </w:r>
    </w:p>
    <w:p w14:paraId="491EA7BA" w14:textId="77777777" w:rsidR="000208EE" w:rsidRPr="000208EE" w:rsidRDefault="000208EE" w:rsidP="000208EE">
      <w:pPr>
        <w:pStyle w:val="Bibliography"/>
      </w:pPr>
      <w:r w:rsidRPr="000208EE">
        <w:t>Davies, G., Kingswood, C., Street, M., 1996. Pharmacokinetics of opioids in renal dysfunction. Clin Pharmacokinet 31, 410–422. https://doi.org/10.2165/00003088-199631060-00002</w:t>
      </w:r>
    </w:p>
    <w:p w14:paraId="38155AF7" w14:textId="77777777" w:rsidR="000208EE" w:rsidRPr="000208EE" w:rsidRDefault="000208EE" w:rsidP="000208EE">
      <w:pPr>
        <w:pStyle w:val="Bibliography"/>
      </w:pPr>
      <w:r w:rsidRPr="000208EE">
        <w:lastRenderedPageBreak/>
        <w:t>Fride Tvete, I., Bjørner, T., Skomedal, T., 2015. Risk factors for excessive benzodiazepine use in a working age population: a nationwide 5-year survey in Norway. Scandinavian Journal of Primary Health Care 33, 252–259. https://doi.org/10.3109/02813432.2015.1117282</w:t>
      </w:r>
    </w:p>
    <w:p w14:paraId="264F841B" w14:textId="77777777" w:rsidR="000208EE" w:rsidRPr="000208EE" w:rsidRDefault="000208EE" w:rsidP="000208EE">
      <w:pPr>
        <w:pStyle w:val="Bibliography"/>
      </w:pPr>
      <w:r w:rsidRPr="000208EE">
        <w:t>Gladden, R.M., O’Donnell, J., Mattson, C.L., Seth, P., 2019. Changes in Opioid-Involved Overdose Deaths by Opioid Type and Presence of Benzodiazepines, Cocaine, and Methamphetamine — 25 States, July–December 2017 to January–June 2018. MMWR Morb Mortal Wkly Rep 68, 737–744. https://doi.org/10.15585/mmwr.mm6834a2</w:t>
      </w:r>
    </w:p>
    <w:p w14:paraId="3723C73C" w14:textId="77777777" w:rsidR="000208EE" w:rsidRPr="000208EE" w:rsidRDefault="000208EE" w:rsidP="000208EE">
      <w:pPr>
        <w:pStyle w:val="Bibliography"/>
      </w:pPr>
      <w:proofErr w:type="spellStart"/>
      <w:r w:rsidRPr="000208EE">
        <w:t>Lankenau</w:t>
      </w:r>
      <w:proofErr w:type="spellEnd"/>
      <w:r w:rsidRPr="000208EE">
        <w:t>, S.E., Teti, M., Silva, K., Bloom, J.J., Harocopos, A., Treese, M., 2012. Patterns of Prescription Drug Misuse among Young Injection Drug Users. J Urban Health 89, 1004–1016. https://doi.org/10.1007/s11524-012-9691-9</w:t>
      </w:r>
    </w:p>
    <w:p w14:paraId="24911AA3" w14:textId="77777777" w:rsidR="000208EE" w:rsidRPr="000208EE" w:rsidRDefault="000208EE" w:rsidP="000208EE">
      <w:pPr>
        <w:pStyle w:val="Bibliography"/>
      </w:pPr>
      <w:r w:rsidRPr="000208EE">
        <w:t>Martins, S.S., Fenton, M.C., Keyes, K.M., Blanco, C., Zhu, H., Storr, C.L., 2012. Mood and anxiety disorders and their association with non-medical prescription opioid use and prescription opioid-use disorder: longitudinal evidence from the National Epidemiologic Study on Alcohol and Related Conditions. Psychol Med 42, 1261–1272. https://doi.org/10.1017/S0033291711002145</w:t>
      </w:r>
    </w:p>
    <w:p w14:paraId="6DB7959C" w14:textId="77777777" w:rsidR="000208EE" w:rsidRPr="000208EE" w:rsidRDefault="000208EE" w:rsidP="000208EE">
      <w:pPr>
        <w:pStyle w:val="Bibliography"/>
      </w:pPr>
      <w:r w:rsidRPr="000208EE">
        <w:t>Mateu-Gelabert, P., Jessell, L., Goodbody, E., Kim, D., Gile, K., Teubl, J., Syckes, C., Ruggles, K., Lazar, J., Friedman, S., Guarino, H., 2017. High enhancer, downer, withdrawal helper: Multifunctional nonmedical benzodiazepine use among young adult opioid users in New York City. International Journal of Drug Policy 46, 17–27. https://doi.org/10.1016/j.drugpo.2017.05.016</w:t>
      </w:r>
    </w:p>
    <w:p w14:paraId="36F37CEE" w14:textId="77777777" w:rsidR="000208EE" w:rsidRPr="000208EE" w:rsidRDefault="000208EE" w:rsidP="000208EE">
      <w:pPr>
        <w:pStyle w:val="Bibliography"/>
      </w:pPr>
      <w:r w:rsidRPr="000208EE">
        <w:t>Mattson, C.L., 2021. Trends and Geographic Patterns in Drug and Synthetic Opioid Overdose Deaths — United States, 2013–2019. MMWR Morb Mortal Wkly Rep 70. https://doi.org/10.15585/mmwr.mm7006a4</w:t>
      </w:r>
    </w:p>
    <w:p w14:paraId="19E378D7" w14:textId="77777777" w:rsidR="000208EE" w:rsidRPr="000208EE" w:rsidRDefault="000208EE" w:rsidP="000208EE">
      <w:pPr>
        <w:pStyle w:val="Bibliography"/>
      </w:pPr>
      <w:r w:rsidRPr="000208EE">
        <w:t>McDonald, R., Strang, J., 2016. Are take-home naloxone programmes effective? Systematic review utilizing application of the Bradford Hill criteria. Addiction 111, 1177–1187. https://doi.org/10.1111/add.13326</w:t>
      </w:r>
    </w:p>
    <w:p w14:paraId="469F817C" w14:textId="77777777" w:rsidR="000208EE" w:rsidRPr="000208EE" w:rsidRDefault="000208EE" w:rsidP="000208EE">
      <w:pPr>
        <w:pStyle w:val="Bibliography"/>
      </w:pPr>
      <w:r w:rsidRPr="000208EE">
        <w:t>McHugh, R.K., Votaw, V.R., Bogunovic, O., Karakula, S.L., Griffin, M.L., Weiss, R.D., 2017. Anxiety sensitivity and nonmedical benzodiazepine use among adults with opioid use disorder. Addictive Behaviors 65, 283–288. https://doi.org/10.1016/j.addbeh.2016.08.020</w:t>
      </w:r>
    </w:p>
    <w:p w14:paraId="7037406B" w14:textId="77777777" w:rsidR="000208EE" w:rsidRPr="000208EE" w:rsidRDefault="000208EE" w:rsidP="000208EE">
      <w:pPr>
        <w:pStyle w:val="Bibliography"/>
      </w:pPr>
      <w:r w:rsidRPr="000208EE">
        <w:t>McLean, C.P., Asnaani, A., Litz, B.T., Hofmann, S.G., 2011. Gender differences in anxiety disorders: Prevalence, course of illness, comorbidity and burden of illness. Journal of Psychiatric Research 45, 1027–1035. https://doi.org/10.1016/j.jpsychires.2011.03.006</w:t>
      </w:r>
    </w:p>
    <w:p w14:paraId="720AFFE1" w14:textId="77777777" w:rsidR="000208EE" w:rsidRPr="000208EE" w:rsidRDefault="000208EE" w:rsidP="000208EE">
      <w:pPr>
        <w:pStyle w:val="Bibliography"/>
      </w:pPr>
      <w:r w:rsidRPr="000208EE">
        <w:t xml:space="preserve">Paquette, C.E., </w:t>
      </w:r>
      <w:proofErr w:type="spellStart"/>
      <w:r w:rsidRPr="000208EE">
        <w:t>Syvertsen</w:t>
      </w:r>
      <w:proofErr w:type="spellEnd"/>
      <w:r w:rsidRPr="000208EE">
        <w:t>, J.L., Pollini, R.A., 2018. Stigma at every turn: Health services experiences among people who inject drugs. Int J Drug Policy 57, 104–110. https://doi.org/10.1016/j.drugpo.2018.04.004</w:t>
      </w:r>
    </w:p>
    <w:p w14:paraId="2B074A75" w14:textId="77777777" w:rsidR="000208EE" w:rsidRPr="000208EE" w:rsidRDefault="000208EE" w:rsidP="000208EE">
      <w:pPr>
        <w:pStyle w:val="Bibliography"/>
      </w:pPr>
      <w:r w:rsidRPr="000208EE">
        <w:t>Pearce, L.A., Homayra, F., Dale, L.M., Moallef, S., Barker, B., Norton, A., Hayashi, K., Nosyk, B., 2020. Non-disclosure of drug use in outpatient health care settings: Findings from a prospective cohort study in Vancouver, Canada. International Journal of Drug Policy 84, 102873. https://doi.org/10.1016/j.drugpo.2020.102873</w:t>
      </w:r>
    </w:p>
    <w:p w14:paraId="51C03DC0" w14:textId="77777777" w:rsidR="000208EE" w:rsidRPr="000208EE" w:rsidRDefault="000208EE" w:rsidP="000208EE">
      <w:pPr>
        <w:pStyle w:val="Bibliography"/>
      </w:pPr>
      <w:r w:rsidRPr="000208EE">
        <w:t>Peters, S.M., Knauf, K.Q., Derbidge, C.M., Kimmel, R., Vannoy, S., 2015. Demographic and clinical factors associated with benzodiazepine prescription at discharge from psychiatric inpatient treatment. General Hospital Psychiatry 37, 595–600. https://doi.org/10.1016/j.genhosppsych.2015.06.004</w:t>
      </w:r>
    </w:p>
    <w:p w14:paraId="570DC105" w14:textId="77777777" w:rsidR="000208EE" w:rsidRPr="000208EE" w:rsidRDefault="000208EE" w:rsidP="000208EE">
      <w:pPr>
        <w:pStyle w:val="Bibliography"/>
      </w:pPr>
      <w:r w:rsidRPr="000208EE">
        <w:lastRenderedPageBreak/>
        <w:t>Rambachan, A., Fang, M.C., Prasad, P., Iverson, N., 2021. Racial and Ethnic Disparities in Discharge Opioid Prescribing From a Hospital Medicine Service. Journal of Hospital Medicine 16, 589–595. https://doi.org/10.12788/jhm.3667</w:t>
      </w:r>
    </w:p>
    <w:p w14:paraId="45B2C797" w14:textId="77777777" w:rsidR="000208EE" w:rsidRPr="000208EE" w:rsidRDefault="000208EE" w:rsidP="000208EE">
      <w:pPr>
        <w:pStyle w:val="Bibliography"/>
      </w:pPr>
      <w:r w:rsidRPr="000208EE">
        <w:t>Rouhani, S., Schneider, K.E., Rao, A., Urquhart, G.J., Morris, M., LaSalle, L., Sherman, S.G., 2021. Perceived vulnerability to overdose-related arrests among people who use drugs in Maryland. The International journal on drug policy 98, 103426. https://doi.org/10.1016/j.drugpo.2021.103426</w:t>
      </w:r>
    </w:p>
    <w:p w14:paraId="769FBF79" w14:textId="77777777" w:rsidR="000208EE" w:rsidRPr="000208EE" w:rsidRDefault="000208EE" w:rsidP="000208EE">
      <w:pPr>
        <w:pStyle w:val="Bibliography"/>
      </w:pPr>
      <w:r w:rsidRPr="000208EE">
        <w:t>Saitz, R., 2007. Screening and brief intervention enter their 5th decade. Subst Abus 28, 3–6. https://doi.org/10.1300/J465v28n03_02</w:t>
      </w:r>
    </w:p>
    <w:p w14:paraId="69817A11" w14:textId="77777777" w:rsidR="000208EE" w:rsidRPr="000208EE" w:rsidRDefault="000208EE" w:rsidP="000208EE">
      <w:pPr>
        <w:pStyle w:val="Bibliography"/>
      </w:pPr>
      <w:r w:rsidRPr="000208EE">
        <w:t>Schmidt, A.J., Bourne, A., Weatherburn, P., Reid, D., Marcus, U., Hickson, F., 2016. Illicit drug use among gay and bisexual men in 44 cities: Findings from the European MSM Internet Survey (EMIS). International Journal of Drug Policy 38, 4–12. https://doi.org/10.1016/j.drugpo.2016.09.007</w:t>
      </w:r>
    </w:p>
    <w:p w14:paraId="2734DAC9" w14:textId="77777777" w:rsidR="000208EE" w:rsidRPr="000208EE" w:rsidRDefault="000208EE" w:rsidP="000208EE">
      <w:pPr>
        <w:pStyle w:val="Bibliography"/>
      </w:pPr>
      <w:r w:rsidRPr="000208EE">
        <w:t>Schneider, K.E., Park, J.N., Allen, S.T., Weir, B.W., Sherman, S.G., 2019. Patterns of polysubstance use and overdose among people who inject drugs in Baltimore, Maryland: A latent class analysis. Drug and Alcohol Dependence 201, 71–77. https://doi.org/10.1016/j.drugalcdep.2019.03.026</w:t>
      </w:r>
    </w:p>
    <w:p w14:paraId="31BA071E" w14:textId="77777777" w:rsidR="000208EE" w:rsidRPr="000208EE" w:rsidRDefault="000208EE" w:rsidP="000208EE">
      <w:pPr>
        <w:pStyle w:val="Bibliography"/>
      </w:pPr>
      <w:r w:rsidRPr="000208EE">
        <w:t>Schneider, K.E., Urquhart, G.J., Rouhani, S., Park, J.N., Morris, M., Allen, S.T., Sherman, S.G., 2021. Practical implications of naloxone knowledge among suburban people who use opioids. Harm Reduct J 18, 47. https://doi.org/10.1186/s12954-021-00466-8</w:t>
      </w:r>
    </w:p>
    <w:p w14:paraId="1F9551C4" w14:textId="77777777" w:rsidR="000208EE" w:rsidRPr="000208EE" w:rsidRDefault="000208EE" w:rsidP="000208EE">
      <w:pPr>
        <w:pStyle w:val="Bibliography"/>
      </w:pPr>
      <w:proofErr w:type="spellStart"/>
      <w:r w:rsidRPr="000208EE">
        <w:t>Smedslund</w:t>
      </w:r>
      <w:proofErr w:type="spellEnd"/>
      <w:r w:rsidRPr="000208EE">
        <w:t>, G., Berg, R.C., Hammerstrøm, K.T., Steiro, A., Leiknes, K.A., Dahl, H.M., Karlsen, K., 2011. Motivational interviewing for substance abuse. Campbell Systematic Reviews 7, 1–126. https://doi.org/10.4073/csr.2011.6</w:t>
      </w:r>
    </w:p>
    <w:p w14:paraId="305E854C" w14:textId="77777777" w:rsidR="000208EE" w:rsidRPr="000208EE" w:rsidRDefault="000208EE" w:rsidP="000208EE">
      <w:pPr>
        <w:pStyle w:val="Bibliography"/>
      </w:pPr>
      <w:r w:rsidRPr="000208EE">
        <w:t>Tomko, C., Schneider, K.E., Rouhani, S., Urquhart, G.J., Park, J.N., Morris, M., Sherman, S.G., 2022. Identifying pathways to recent non-fatal overdose among people who use opioids non-medically: How do psychological pain and unmet mental health need contribute to overdose risk? ADDICT.BEHAV. 127, 107215. https://doi.org/10.1016/j.addbeh.2021.107215</w:t>
      </w:r>
    </w:p>
    <w:p w14:paraId="352C884E" w14:textId="77777777" w:rsidR="000208EE" w:rsidRPr="000208EE" w:rsidRDefault="000208EE" w:rsidP="000208EE">
      <w:pPr>
        <w:pStyle w:val="Bibliography"/>
      </w:pPr>
      <w:r w:rsidRPr="000208EE">
        <w:t>Tori, M.E., Larochelle, M.R., Naimi, T.S., 2020. Alcohol or Benzodiazepine Co-involvement With Opioid Overdose Deaths in the United States, 1999-2017. JAMA Network Open 3, e202361. https://doi.org/10.1001/jamanetworkopen.2020.2361</w:t>
      </w:r>
    </w:p>
    <w:p w14:paraId="2F3A6122" w14:textId="77777777" w:rsidR="000208EE" w:rsidRPr="000208EE" w:rsidRDefault="000208EE" w:rsidP="000208EE">
      <w:pPr>
        <w:pStyle w:val="Bibliography"/>
      </w:pPr>
      <w:r w:rsidRPr="000208EE">
        <w:t>United States Census Bureau, 2019a. QuickFacts Baltimore City, Maryland 2019 [WWW Document]. URL https://www.census.gov/quickfacts/baltimorecitymaryland. (accessed 4.7.22).</w:t>
      </w:r>
    </w:p>
    <w:p w14:paraId="6DAD2B38" w14:textId="77777777" w:rsidR="000208EE" w:rsidRPr="000208EE" w:rsidRDefault="000208EE" w:rsidP="000208EE">
      <w:pPr>
        <w:pStyle w:val="Bibliography"/>
      </w:pPr>
      <w:r w:rsidRPr="000208EE">
        <w:t>United States Census Bureau, 2019b. QuickFacts Anne Arundel County 2019 [WWW Document]. URL https://www.census.gov/quickfacts/annearundelcountymaryland (accessed 4.7.22).</w:t>
      </w:r>
    </w:p>
    <w:p w14:paraId="275FE354" w14:textId="77777777" w:rsidR="000208EE" w:rsidRPr="000208EE" w:rsidRDefault="000208EE" w:rsidP="000208EE">
      <w:pPr>
        <w:pStyle w:val="Bibliography"/>
      </w:pPr>
      <w:r w:rsidRPr="000208EE">
        <w:t>van Wijk, C.M.T.G., Kolk, A.M., van Den Bosch, W.J.H.M., Van Den Hoogen, H.J.M., 1992. Male and female morbidity in general practice: The nature of sex differences. Social Science &amp; Medicine 35, 665–678. https://doi.org/10.1016/0277-9536(92)90005-B</w:t>
      </w:r>
    </w:p>
    <w:p w14:paraId="24A0DB38" w14:textId="77777777" w:rsidR="000208EE" w:rsidRPr="000208EE" w:rsidRDefault="000208EE" w:rsidP="000208EE">
      <w:pPr>
        <w:pStyle w:val="Bibliography"/>
      </w:pPr>
      <w:r w:rsidRPr="000208EE">
        <w:t>White, J.M., Irvine, R.J., 1999. Mechanisms of fatal opioid overdose. Addiction 94, 961–972. https://doi.org/10.1046/j.1360-0443.1999.9479612.x</w:t>
      </w:r>
    </w:p>
    <w:p w14:paraId="2A7B62B7" w14:textId="77777777" w:rsidR="005C0C01" w:rsidRDefault="00452E52" w:rsidP="009516FC">
      <w:pPr>
        <w:spacing w:before="0" w:line="480" w:lineRule="auto"/>
        <w:contextualSpacing/>
      </w:pPr>
      <w:r>
        <w:lastRenderedPageBreak/>
        <w:fldChar w:fldCharType="end"/>
      </w:r>
    </w:p>
    <w:p w14:paraId="670E3099" w14:textId="15B060B9" w:rsidR="009516FC" w:rsidRPr="005C0C01" w:rsidRDefault="002C403D" w:rsidP="009516FC">
      <w:pPr>
        <w:spacing w:before="0" w:line="480" w:lineRule="auto"/>
        <w:contextualSpacing/>
      </w:pPr>
      <w:r w:rsidRPr="003E037D">
        <w:rPr>
          <w:rFonts w:ascii="Arial" w:hAnsi="Arial" w:cs="Arial"/>
          <w:i/>
          <w:color w:val="000000" w:themeColor="text1"/>
          <w:sz w:val="20"/>
          <w:szCs w:val="20"/>
        </w:rPr>
        <w:t xml:space="preserve">TABLES AND FIGURES: </w:t>
      </w:r>
    </w:p>
    <w:p w14:paraId="39EE4B8D" w14:textId="77777777" w:rsidR="002C403D" w:rsidRDefault="002C403D" w:rsidP="002C403D">
      <w:pPr>
        <w:pStyle w:val="NormalWeb"/>
        <w:spacing w:before="0" w:beforeAutospacing="0" w:after="0" w:afterAutospacing="0"/>
        <w:textAlignment w:val="baseline"/>
        <w:rPr>
          <w:rFonts w:ascii="Arial" w:hAnsi="Arial" w:cs="Arial"/>
          <w:color w:val="000000" w:themeColor="text1"/>
          <w:sz w:val="20"/>
          <w:szCs w:val="20"/>
        </w:rPr>
      </w:pPr>
      <w:r w:rsidRPr="003E037D">
        <w:rPr>
          <w:rFonts w:ascii="Arial" w:hAnsi="Arial" w:cs="Arial"/>
          <w:color w:val="000000" w:themeColor="text1"/>
          <w:sz w:val="20"/>
          <w:szCs w:val="20"/>
        </w:rPr>
        <w:t xml:space="preserve">Table 1. Participant characteristics by daily co-use. </w:t>
      </w:r>
    </w:p>
    <w:tbl>
      <w:tblPr>
        <w:tblW w:w="10170" w:type="dxa"/>
        <w:tblLook w:val="04A0" w:firstRow="1" w:lastRow="0" w:firstColumn="1" w:lastColumn="0" w:noHBand="0" w:noVBand="1"/>
      </w:tblPr>
      <w:tblGrid>
        <w:gridCol w:w="5872"/>
        <w:gridCol w:w="1005"/>
        <w:gridCol w:w="1143"/>
        <w:gridCol w:w="1474"/>
        <w:gridCol w:w="690"/>
      </w:tblGrid>
      <w:tr w:rsidR="002C403D" w:rsidRPr="0020667B" w14:paraId="05779FE7" w14:textId="77777777" w:rsidTr="002150E9">
        <w:trPr>
          <w:trHeight w:val="319"/>
        </w:trPr>
        <w:tc>
          <w:tcPr>
            <w:tcW w:w="0" w:type="auto"/>
            <w:tcBorders>
              <w:top w:val="nil"/>
              <w:left w:val="nil"/>
              <w:bottom w:val="nil"/>
              <w:right w:val="nil"/>
            </w:tcBorders>
            <w:shd w:val="clear" w:color="auto" w:fill="auto"/>
            <w:noWrap/>
            <w:vAlign w:val="bottom"/>
            <w:hideMark/>
          </w:tcPr>
          <w:p w14:paraId="05D53E90" w14:textId="77777777" w:rsidR="002C403D" w:rsidRPr="0020667B" w:rsidRDefault="002C403D" w:rsidP="001C4A0B">
            <w:pPr>
              <w:spacing w:before="100" w:beforeAutospacing="1" w:after="100" w:afterAutospacing="1"/>
            </w:pPr>
          </w:p>
        </w:tc>
        <w:tc>
          <w:tcPr>
            <w:tcW w:w="0" w:type="auto"/>
            <w:tcBorders>
              <w:top w:val="nil"/>
              <w:left w:val="nil"/>
              <w:bottom w:val="nil"/>
              <w:right w:val="single" w:sz="8" w:space="0" w:color="auto"/>
            </w:tcBorders>
            <w:shd w:val="clear" w:color="auto" w:fill="auto"/>
            <w:noWrap/>
            <w:vAlign w:val="bottom"/>
            <w:hideMark/>
          </w:tcPr>
          <w:p w14:paraId="60CDC1B9" w14:textId="77777777" w:rsidR="002C403D" w:rsidRPr="0020667B" w:rsidRDefault="002C403D" w:rsidP="001C4A0B">
            <w:pPr>
              <w:spacing w:before="100" w:beforeAutospacing="1" w:after="100" w:afterAutospacing="1"/>
              <w:rPr>
                <w:rFonts w:ascii="Calibri" w:hAnsi="Calibri" w:cs="Calibri"/>
                <w:color w:val="000000"/>
                <w:sz w:val="18"/>
                <w:szCs w:val="18"/>
              </w:rPr>
            </w:pPr>
            <w:r w:rsidRPr="0020667B">
              <w:rPr>
                <w:rFonts w:ascii="Calibri" w:hAnsi="Calibri" w:cs="Calibri"/>
                <w:color w:val="000000"/>
                <w:sz w:val="18"/>
                <w:szCs w:val="18"/>
              </w:rPr>
              <w:t> </w:t>
            </w:r>
          </w:p>
        </w:tc>
        <w:tc>
          <w:tcPr>
            <w:tcW w:w="2617"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08DC4E0" w14:textId="77777777" w:rsidR="002C403D" w:rsidRPr="0020667B" w:rsidRDefault="002C403D" w:rsidP="001C4A0B">
            <w:pPr>
              <w:spacing w:before="100" w:beforeAutospacing="1" w:after="100" w:afterAutospacing="1"/>
              <w:jc w:val="center"/>
              <w:rPr>
                <w:rFonts w:ascii="Calibri" w:hAnsi="Calibri" w:cs="Calibri"/>
                <w:b/>
                <w:bCs/>
                <w:color w:val="000000"/>
                <w:sz w:val="18"/>
                <w:szCs w:val="18"/>
              </w:rPr>
            </w:pPr>
            <w:r w:rsidRPr="0020667B">
              <w:rPr>
                <w:rFonts w:ascii="Calibri" w:hAnsi="Calibri" w:cs="Calibri"/>
                <w:b/>
                <w:bCs/>
                <w:color w:val="000000"/>
                <w:sz w:val="18"/>
                <w:szCs w:val="18"/>
              </w:rPr>
              <w:t>Daily use of BZ</w:t>
            </w:r>
            <w:r>
              <w:rPr>
                <w:rFonts w:ascii="Calibri" w:hAnsi="Calibri" w:cs="Calibri"/>
                <w:b/>
                <w:bCs/>
                <w:color w:val="000000"/>
                <w:sz w:val="18"/>
                <w:szCs w:val="18"/>
              </w:rPr>
              <w:t>D/TRQ</w:t>
            </w:r>
            <w:r w:rsidRPr="0020667B">
              <w:rPr>
                <w:rFonts w:ascii="Calibri" w:hAnsi="Calibri" w:cs="Calibri"/>
                <w:b/>
                <w:bCs/>
                <w:color w:val="000000"/>
                <w:sz w:val="18"/>
                <w:szCs w:val="18"/>
              </w:rPr>
              <w:t xml:space="preserve"> and opioids, past 3 months</w:t>
            </w:r>
          </w:p>
        </w:tc>
        <w:tc>
          <w:tcPr>
            <w:tcW w:w="720" w:type="dxa"/>
            <w:vMerge w:val="restart"/>
            <w:tcBorders>
              <w:top w:val="single" w:sz="8" w:space="0" w:color="auto"/>
              <w:left w:val="single" w:sz="8" w:space="0" w:color="auto"/>
              <w:right w:val="single" w:sz="4" w:space="0" w:color="auto"/>
            </w:tcBorders>
          </w:tcPr>
          <w:p w14:paraId="69C6AA14" w14:textId="77777777" w:rsidR="002C403D" w:rsidRPr="0020667B" w:rsidRDefault="002C403D" w:rsidP="001C4A0B">
            <w:pPr>
              <w:spacing w:before="100" w:beforeAutospacing="1" w:after="100" w:afterAutospacing="1"/>
              <w:jc w:val="center"/>
              <w:rPr>
                <w:rFonts w:ascii="Calibri" w:hAnsi="Calibri" w:cs="Calibri"/>
                <w:b/>
                <w:bCs/>
                <w:color w:val="000000"/>
                <w:sz w:val="18"/>
                <w:szCs w:val="18"/>
              </w:rPr>
            </w:pPr>
          </w:p>
        </w:tc>
      </w:tr>
      <w:tr w:rsidR="002C403D" w:rsidRPr="0020667B" w14:paraId="23E91B04" w14:textId="77777777" w:rsidTr="002150E9">
        <w:trPr>
          <w:trHeight w:val="255"/>
        </w:trPr>
        <w:tc>
          <w:tcPr>
            <w:tcW w:w="0" w:type="auto"/>
            <w:tcBorders>
              <w:top w:val="nil"/>
              <w:left w:val="nil"/>
              <w:bottom w:val="nil"/>
              <w:right w:val="nil"/>
            </w:tcBorders>
            <w:shd w:val="clear" w:color="auto" w:fill="auto"/>
            <w:noWrap/>
            <w:vAlign w:val="bottom"/>
            <w:hideMark/>
          </w:tcPr>
          <w:p w14:paraId="593E2434"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p>
        </w:tc>
        <w:tc>
          <w:tcPr>
            <w:tcW w:w="0" w:type="auto"/>
            <w:tcBorders>
              <w:top w:val="nil"/>
              <w:left w:val="nil"/>
              <w:bottom w:val="single" w:sz="8" w:space="0" w:color="auto"/>
              <w:right w:val="single" w:sz="8" w:space="0" w:color="auto"/>
            </w:tcBorders>
            <w:shd w:val="clear" w:color="auto" w:fill="auto"/>
            <w:noWrap/>
            <w:vAlign w:val="bottom"/>
            <w:hideMark/>
          </w:tcPr>
          <w:p w14:paraId="3FFFBD13" w14:textId="77777777" w:rsidR="002C403D" w:rsidRPr="0020667B" w:rsidRDefault="002C403D" w:rsidP="001C4A0B">
            <w:pPr>
              <w:spacing w:before="100" w:beforeAutospacing="1" w:after="100" w:afterAutospacing="1"/>
              <w:rPr>
                <w:rFonts w:ascii="Calibri" w:hAnsi="Calibri" w:cs="Calibri"/>
                <w:color w:val="000000"/>
                <w:sz w:val="18"/>
                <w:szCs w:val="18"/>
              </w:rPr>
            </w:pPr>
            <w:r w:rsidRPr="0020667B">
              <w:rPr>
                <w:rFonts w:ascii="Calibri" w:hAnsi="Calibri" w:cs="Calibri"/>
                <w:color w:val="000000"/>
                <w:sz w:val="18"/>
                <w:szCs w:val="18"/>
              </w:rPr>
              <w:t> </w:t>
            </w:r>
          </w:p>
        </w:tc>
        <w:tc>
          <w:tcPr>
            <w:tcW w:w="2617" w:type="dxa"/>
            <w:gridSpan w:val="2"/>
            <w:vMerge/>
            <w:tcBorders>
              <w:top w:val="nil"/>
              <w:left w:val="nil"/>
              <w:bottom w:val="single" w:sz="8" w:space="0" w:color="auto"/>
              <w:right w:val="single" w:sz="8" w:space="0" w:color="auto"/>
            </w:tcBorders>
            <w:vAlign w:val="center"/>
            <w:hideMark/>
          </w:tcPr>
          <w:p w14:paraId="5105681B" w14:textId="77777777" w:rsidR="002C403D" w:rsidRPr="0020667B" w:rsidRDefault="002C403D" w:rsidP="001C4A0B">
            <w:pPr>
              <w:spacing w:before="100" w:beforeAutospacing="1" w:after="100" w:afterAutospacing="1"/>
              <w:rPr>
                <w:rFonts w:ascii="Calibri" w:hAnsi="Calibri" w:cs="Calibri"/>
                <w:b/>
                <w:bCs/>
                <w:color w:val="000000"/>
                <w:sz w:val="18"/>
                <w:szCs w:val="18"/>
              </w:rPr>
            </w:pPr>
          </w:p>
        </w:tc>
        <w:tc>
          <w:tcPr>
            <w:tcW w:w="720" w:type="dxa"/>
            <w:vMerge/>
            <w:tcBorders>
              <w:left w:val="single" w:sz="8" w:space="0" w:color="auto"/>
              <w:bottom w:val="single" w:sz="8" w:space="0" w:color="auto"/>
              <w:right w:val="single" w:sz="4" w:space="0" w:color="auto"/>
            </w:tcBorders>
          </w:tcPr>
          <w:p w14:paraId="5777A45B" w14:textId="77777777" w:rsidR="002C403D" w:rsidRPr="0020667B" w:rsidRDefault="002C403D" w:rsidP="001C4A0B">
            <w:pPr>
              <w:spacing w:before="100" w:beforeAutospacing="1" w:after="100" w:afterAutospacing="1"/>
              <w:rPr>
                <w:rFonts w:ascii="Calibri" w:hAnsi="Calibri" w:cs="Calibri"/>
                <w:b/>
                <w:bCs/>
                <w:color w:val="000000"/>
                <w:sz w:val="18"/>
                <w:szCs w:val="18"/>
              </w:rPr>
            </w:pPr>
          </w:p>
        </w:tc>
      </w:tr>
      <w:tr w:rsidR="002C403D" w:rsidRPr="0020667B" w14:paraId="02BFE390" w14:textId="77777777" w:rsidTr="002150E9">
        <w:trPr>
          <w:trHeight w:val="270"/>
        </w:trPr>
        <w:tc>
          <w:tcPr>
            <w:tcW w:w="0" w:type="auto"/>
            <w:tcBorders>
              <w:top w:val="nil"/>
              <w:left w:val="nil"/>
              <w:bottom w:val="nil"/>
              <w:right w:val="nil"/>
            </w:tcBorders>
            <w:shd w:val="clear" w:color="auto" w:fill="auto"/>
            <w:noWrap/>
            <w:vAlign w:val="bottom"/>
            <w:hideMark/>
          </w:tcPr>
          <w:p w14:paraId="40BE27C5" w14:textId="77777777" w:rsidR="002C403D" w:rsidRPr="0020667B" w:rsidRDefault="002C403D" w:rsidP="001C4A0B">
            <w:pPr>
              <w:spacing w:before="100" w:beforeAutospacing="1" w:after="100" w:afterAutospacing="1"/>
              <w:rPr>
                <w:rFonts w:ascii="Calibri" w:hAnsi="Calibri" w:cs="Calibri"/>
                <w:color w:val="000000"/>
                <w:sz w:val="18"/>
                <w:szCs w:val="18"/>
              </w:rPr>
            </w:pPr>
          </w:p>
        </w:tc>
        <w:tc>
          <w:tcPr>
            <w:tcW w:w="0" w:type="auto"/>
            <w:tcBorders>
              <w:top w:val="nil"/>
              <w:left w:val="single" w:sz="8" w:space="0" w:color="auto"/>
              <w:bottom w:val="nil"/>
              <w:right w:val="nil"/>
            </w:tcBorders>
            <w:shd w:val="clear" w:color="auto" w:fill="auto"/>
            <w:noWrap/>
            <w:vAlign w:val="center"/>
            <w:hideMark/>
          </w:tcPr>
          <w:p w14:paraId="5A0876B3" w14:textId="77777777" w:rsidR="002C403D" w:rsidRPr="0020667B" w:rsidRDefault="002C403D" w:rsidP="001C4A0B">
            <w:pPr>
              <w:spacing w:before="100" w:beforeAutospacing="1" w:after="100" w:afterAutospacing="1"/>
              <w:jc w:val="center"/>
              <w:rPr>
                <w:rFonts w:ascii="Calibri" w:hAnsi="Calibri" w:cs="Calibri"/>
                <w:b/>
                <w:bCs/>
                <w:color w:val="000000"/>
                <w:sz w:val="18"/>
                <w:szCs w:val="18"/>
              </w:rPr>
            </w:pPr>
            <w:r w:rsidRPr="0020667B">
              <w:rPr>
                <w:rFonts w:ascii="Calibri" w:hAnsi="Calibri" w:cs="Calibri"/>
                <w:b/>
                <w:bCs/>
                <w:color w:val="000000"/>
                <w:sz w:val="18"/>
                <w:szCs w:val="18"/>
              </w:rPr>
              <w:t>Total</w:t>
            </w:r>
          </w:p>
        </w:tc>
        <w:tc>
          <w:tcPr>
            <w:tcW w:w="0" w:type="auto"/>
            <w:tcBorders>
              <w:top w:val="nil"/>
              <w:left w:val="single" w:sz="8" w:space="0" w:color="auto"/>
              <w:bottom w:val="nil"/>
              <w:right w:val="nil"/>
            </w:tcBorders>
            <w:shd w:val="clear" w:color="auto" w:fill="auto"/>
            <w:noWrap/>
            <w:vAlign w:val="center"/>
            <w:hideMark/>
          </w:tcPr>
          <w:p w14:paraId="11BE8B78" w14:textId="77777777" w:rsidR="002C403D" w:rsidRPr="0020667B" w:rsidRDefault="002C403D" w:rsidP="001C4A0B">
            <w:pPr>
              <w:spacing w:before="100" w:beforeAutospacing="1" w:after="100" w:afterAutospacing="1"/>
              <w:jc w:val="center"/>
              <w:rPr>
                <w:rFonts w:ascii="Calibri" w:hAnsi="Calibri" w:cs="Calibri"/>
                <w:b/>
                <w:bCs/>
                <w:color w:val="000000"/>
                <w:sz w:val="18"/>
                <w:szCs w:val="18"/>
              </w:rPr>
            </w:pPr>
            <w:r w:rsidRPr="0020667B">
              <w:rPr>
                <w:rFonts w:ascii="Calibri" w:hAnsi="Calibri" w:cs="Calibri"/>
                <w:b/>
                <w:bCs/>
                <w:color w:val="000000"/>
                <w:sz w:val="18"/>
                <w:szCs w:val="18"/>
              </w:rPr>
              <w:t>No</w:t>
            </w:r>
          </w:p>
        </w:tc>
        <w:tc>
          <w:tcPr>
            <w:tcW w:w="1474" w:type="dxa"/>
            <w:tcBorders>
              <w:top w:val="nil"/>
              <w:left w:val="nil"/>
              <w:bottom w:val="nil"/>
              <w:right w:val="single" w:sz="4" w:space="0" w:color="auto"/>
            </w:tcBorders>
            <w:shd w:val="clear" w:color="auto" w:fill="auto"/>
            <w:noWrap/>
            <w:vAlign w:val="center"/>
            <w:hideMark/>
          </w:tcPr>
          <w:p w14:paraId="55F93749" w14:textId="77777777" w:rsidR="002C403D" w:rsidRPr="0020667B" w:rsidRDefault="002C403D" w:rsidP="001C4A0B">
            <w:pPr>
              <w:spacing w:before="100" w:beforeAutospacing="1" w:after="100" w:afterAutospacing="1"/>
              <w:jc w:val="center"/>
              <w:rPr>
                <w:rFonts w:ascii="Calibri" w:hAnsi="Calibri" w:cs="Calibri"/>
                <w:b/>
                <w:bCs/>
                <w:color w:val="000000"/>
                <w:sz w:val="18"/>
                <w:szCs w:val="18"/>
              </w:rPr>
            </w:pPr>
            <w:r w:rsidRPr="0020667B">
              <w:rPr>
                <w:rFonts w:ascii="Calibri" w:hAnsi="Calibri" w:cs="Calibri"/>
                <w:b/>
                <w:bCs/>
                <w:color w:val="000000"/>
                <w:sz w:val="18"/>
                <w:szCs w:val="18"/>
              </w:rPr>
              <w:t>Yes</w:t>
            </w:r>
          </w:p>
        </w:tc>
        <w:tc>
          <w:tcPr>
            <w:tcW w:w="720" w:type="dxa"/>
            <w:tcBorders>
              <w:top w:val="nil"/>
              <w:left w:val="nil"/>
              <w:bottom w:val="nil"/>
              <w:right w:val="single" w:sz="4" w:space="0" w:color="auto"/>
            </w:tcBorders>
          </w:tcPr>
          <w:p w14:paraId="54CACA4E" w14:textId="77777777" w:rsidR="002C403D" w:rsidRPr="0020667B" w:rsidRDefault="002C403D" w:rsidP="001C4A0B">
            <w:pPr>
              <w:spacing w:before="100" w:beforeAutospacing="1" w:after="100" w:afterAutospacing="1"/>
              <w:jc w:val="center"/>
              <w:rPr>
                <w:rFonts w:ascii="Calibri" w:hAnsi="Calibri" w:cs="Calibri"/>
                <w:b/>
                <w:bCs/>
                <w:color w:val="000000"/>
                <w:sz w:val="18"/>
                <w:szCs w:val="18"/>
              </w:rPr>
            </w:pPr>
          </w:p>
        </w:tc>
      </w:tr>
      <w:tr w:rsidR="002C403D" w:rsidRPr="0020667B" w14:paraId="1A088548" w14:textId="77777777" w:rsidTr="002150E9">
        <w:trPr>
          <w:trHeight w:val="255"/>
        </w:trPr>
        <w:tc>
          <w:tcPr>
            <w:tcW w:w="0" w:type="auto"/>
            <w:tcBorders>
              <w:top w:val="nil"/>
              <w:left w:val="nil"/>
              <w:bottom w:val="nil"/>
              <w:right w:val="nil"/>
            </w:tcBorders>
            <w:shd w:val="clear" w:color="auto" w:fill="auto"/>
            <w:noWrap/>
            <w:vAlign w:val="bottom"/>
            <w:hideMark/>
          </w:tcPr>
          <w:p w14:paraId="1689BAE5" w14:textId="77777777" w:rsidR="002C403D" w:rsidRPr="0020667B" w:rsidRDefault="002C403D" w:rsidP="001C4A0B">
            <w:pPr>
              <w:spacing w:before="100" w:beforeAutospacing="1" w:after="100" w:afterAutospacing="1"/>
              <w:jc w:val="center"/>
              <w:rPr>
                <w:rFonts w:ascii="Calibri" w:hAnsi="Calibri" w:cs="Calibri"/>
                <w:b/>
                <w:bCs/>
                <w:color w:val="000000"/>
                <w:sz w:val="18"/>
                <w:szCs w:val="18"/>
              </w:rPr>
            </w:pPr>
          </w:p>
        </w:tc>
        <w:tc>
          <w:tcPr>
            <w:tcW w:w="0" w:type="auto"/>
            <w:tcBorders>
              <w:top w:val="nil"/>
              <w:left w:val="single" w:sz="8" w:space="0" w:color="auto"/>
              <w:bottom w:val="single" w:sz="8" w:space="0" w:color="auto"/>
              <w:right w:val="nil"/>
            </w:tcBorders>
            <w:shd w:val="clear" w:color="auto" w:fill="auto"/>
            <w:noWrap/>
            <w:vAlign w:val="center"/>
            <w:hideMark/>
          </w:tcPr>
          <w:p w14:paraId="3CD3A3C8"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N=417</w:t>
            </w:r>
          </w:p>
        </w:tc>
        <w:tc>
          <w:tcPr>
            <w:tcW w:w="0" w:type="auto"/>
            <w:tcBorders>
              <w:top w:val="nil"/>
              <w:left w:val="single" w:sz="8" w:space="0" w:color="auto"/>
              <w:bottom w:val="single" w:sz="8" w:space="0" w:color="auto"/>
              <w:right w:val="nil"/>
            </w:tcBorders>
            <w:shd w:val="clear" w:color="auto" w:fill="auto"/>
            <w:noWrap/>
            <w:vAlign w:val="center"/>
            <w:hideMark/>
          </w:tcPr>
          <w:p w14:paraId="1E3F102B"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n=324 (77.7)</w:t>
            </w:r>
          </w:p>
        </w:tc>
        <w:tc>
          <w:tcPr>
            <w:tcW w:w="1474" w:type="dxa"/>
            <w:tcBorders>
              <w:top w:val="nil"/>
              <w:left w:val="nil"/>
              <w:bottom w:val="single" w:sz="8" w:space="0" w:color="auto"/>
              <w:right w:val="single" w:sz="4" w:space="0" w:color="auto"/>
            </w:tcBorders>
            <w:shd w:val="clear" w:color="auto" w:fill="auto"/>
            <w:noWrap/>
            <w:vAlign w:val="center"/>
            <w:hideMark/>
          </w:tcPr>
          <w:p w14:paraId="745BF34C"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n=93 (22.3)</w:t>
            </w:r>
          </w:p>
        </w:tc>
        <w:tc>
          <w:tcPr>
            <w:tcW w:w="720" w:type="dxa"/>
            <w:tcBorders>
              <w:top w:val="nil"/>
              <w:left w:val="nil"/>
              <w:bottom w:val="single" w:sz="8" w:space="0" w:color="auto"/>
              <w:right w:val="single" w:sz="4" w:space="0" w:color="auto"/>
            </w:tcBorders>
          </w:tcPr>
          <w:p w14:paraId="069194DD"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Pr>
                <w:rFonts w:ascii="Calibri" w:hAnsi="Calibri" w:cs="Calibri"/>
                <w:color w:val="000000"/>
                <w:sz w:val="18"/>
                <w:szCs w:val="18"/>
              </w:rPr>
              <w:t>p-value</w:t>
            </w:r>
            <w:r w:rsidRPr="003E037D">
              <w:rPr>
                <w:rFonts w:ascii="Arial" w:hAnsi="Arial" w:cs="Arial"/>
                <w:color w:val="000000" w:themeColor="text1"/>
                <w:sz w:val="16"/>
                <w:szCs w:val="16"/>
                <w:vertAlign w:val="superscript"/>
              </w:rPr>
              <w:t xml:space="preserve"> a</w:t>
            </w:r>
          </w:p>
        </w:tc>
      </w:tr>
      <w:tr w:rsidR="002C403D" w:rsidRPr="0020667B" w14:paraId="1CD1F64F" w14:textId="77777777" w:rsidTr="002150E9">
        <w:trPr>
          <w:trHeight w:val="255"/>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14:paraId="53EDC7F6" w14:textId="77777777" w:rsidR="002C403D" w:rsidRPr="0020667B" w:rsidRDefault="002C403D" w:rsidP="001C4A0B">
            <w:pPr>
              <w:spacing w:before="100" w:beforeAutospacing="1" w:after="100" w:afterAutospacing="1"/>
              <w:rPr>
                <w:rFonts w:ascii="Calibri" w:hAnsi="Calibri" w:cs="Calibri"/>
                <w:b/>
                <w:bCs/>
                <w:color w:val="000000"/>
                <w:sz w:val="18"/>
                <w:szCs w:val="18"/>
              </w:rPr>
            </w:pPr>
            <w:r w:rsidRPr="0020667B">
              <w:rPr>
                <w:rFonts w:ascii="Calibri" w:hAnsi="Calibri" w:cs="Calibri"/>
                <w:b/>
                <w:bCs/>
                <w:color w:val="000000"/>
                <w:sz w:val="18"/>
                <w:szCs w:val="18"/>
              </w:rPr>
              <w:t xml:space="preserve">Sociodemographic characteristics and structural vulnerability </w:t>
            </w:r>
          </w:p>
        </w:tc>
        <w:tc>
          <w:tcPr>
            <w:tcW w:w="0" w:type="auto"/>
            <w:tcBorders>
              <w:top w:val="nil"/>
              <w:left w:val="nil"/>
              <w:bottom w:val="single" w:sz="8" w:space="0" w:color="auto"/>
              <w:right w:val="nil"/>
            </w:tcBorders>
            <w:shd w:val="clear" w:color="auto" w:fill="auto"/>
            <w:noWrap/>
            <w:vAlign w:val="center"/>
            <w:hideMark/>
          </w:tcPr>
          <w:p w14:paraId="641D1A08"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n(col%)</w:t>
            </w:r>
          </w:p>
        </w:tc>
        <w:tc>
          <w:tcPr>
            <w:tcW w:w="0" w:type="auto"/>
            <w:tcBorders>
              <w:top w:val="nil"/>
              <w:left w:val="nil"/>
              <w:bottom w:val="single" w:sz="8" w:space="0" w:color="auto"/>
              <w:right w:val="nil"/>
            </w:tcBorders>
            <w:shd w:val="clear" w:color="auto" w:fill="auto"/>
            <w:noWrap/>
            <w:vAlign w:val="center"/>
            <w:hideMark/>
          </w:tcPr>
          <w:p w14:paraId="4B7C93CD"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n(col%)</w:t>
            </w:r>
          </w:p>
        </w:tc>
        <w:tc>
          <w:tcPr>
            <w:tcW w:w="1474" w:type="dxa"/>
            <w:tcBorders>
              <w:top w:val="nil"/>
              <w:left w:val="nil"/>
              <w:bottom w:val="single" w:sz="8" w:space="0" w:color="auto"/>
              <w:right w:val="single" w:sz="4" w:space="0" w:color="auto"/>
            </w:tcBorders>
            <w:shd w:val="clear" w:color="auto" w:fill="auto"/>
            <w:noWrap/>
            <w:vAlign w:val="center"/>
            <w:hideMark/>
          </w:tcPr>
          <w:p w14:paraId="053EF2B9"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n(col%)</w:t>
            </w:r>
          </w:p>
        </w:tc>
        <w:tc>
          <w:tcPr>
            <w:tcW w:w="720" w:type="dxa"/>
            <w:tcBorders>
              <w:top w:val="nil"/>
              <w:left w:val="nil"/>
              <w:bottom w:val="single" w:sz="8" w:space="0" w:color="auto"/>
              <w:right w:val="single" w:sz="4" w:space="0" w:color="auto"/>
            </w:tcBorders>
          </w:tcPr>
          <w:p w14:paraId="5AF24F1D"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p>
        </w:tc>
      </w:tr>
      <w:tr w:rsidR="002C403D" w:rsidRPr="0020667B" w14:paraId="59E21187" w14:textId="77777777" w:rsidTr="002150E9">
        <w:trPr>
          <w:trHeight w:val="240"/>
        </w:trPr>
        <w:tc>
          <w:tcPr>
            <w:tcW w:w="0" w:type="auto"/>
            <w:tcBorders>
              <w:top w:val="nil"/>
              <w:left w:val="single" w:sz="8" w:space="0" w:color="auto"/>
              <w:bottom w:val="nil"/>
              <w:right w:val="nil"/>
            </w:tcBorders>
            <w:shd w:val="clear" w:color="auto" w:fill="auto"/>
            <w:noWrap/>
            <w:vAlign w:val="center"/>
            <w:hideMark/>
          </w:tcPr>
          <w:p w14:paraId="3DE30852" w14:textId="2AC20D4B" w:rsidR="002C403D" w:rsidRPr="0020667B" w:rsidRDefault="003C4B9F" w:rsidP="001C4A0B">
            <w:pPr>
              <w:spacing w:before="100" w:beforeAutospacing="1" w:after="100" w:afterAutospacing="1"/>
              <w:rPr>
                <w:rFonts w:ascii="Calibri" w:hAnsi="Calibri" w:cs="Calibri"/>
                <w:color w:val="000000"/>
                <w:sz w:val="18"/>
                <w:szCs w:val="18"/>
              </w:rPr>
            </w:pPr>
            <w:r>
              <w:rPr>
                <w:rFonts w:ascii="Calibri" w:hAnsi="Calibri" w:cs="Calibri"/>
                <w:color w:val="000000"/>
                <w:sz w:val="18"/>
                <w:szCs w:val="18"/>
              </w:rPr>
              <w:t>Location (study wave)</w:t>
            </w:r>
          </w:p>
        </w:tc>
        <w:tc>
          <w:tcPr>
            <w:tcW w:w="0" w:type="auto"/>
            <w:tcBorders>
              <w:top w:val="nil"/>
              <w:left w:val="nil"/>
              <w:bottom w:val="nil"/>
              <w:right w:val="nil"/>
            </w:tcBorders>
            <w:shd w:val="clear" w:color="auto" w:fill="auto"/>
            <w:noWrap/>
            <w:vAlign w:val="center"/>
            <w:hideMark/>
          </w:tcPr>
          <w:p w14:paraId="49C3008A" w14:textId="77777777" w:rsidR="002C403D" w:rsidRPr="0020667B" w:rsidRDefault="002C403D" w:rsidP="001C4A0B">
            <w:pPr>
              <w:spacing w:before="100" w:beforeAutospacing="1" w:after="100" w:afterAutospacing="1"/>
              <w:rPr>
                <w:rFonts w:ascii="Calibri" w:hAnsi="Calibri" w:cs="Calibri"/>
                <w:color w:val="000000"/>
                <w:sz w:val="18"/>
                <w:szCs w:val="18"/>
              </w:rPr>
            </w:pPr>
          </w:p>
        </w:tc>
        <w:tc>
          <w:tcPr>
            <w:tcW w:w="0" w:type="auto"/>
            <w:tcBorders>
              <w:top w:val="nil"/>
              <w:left w:val="nil"/>
              <w:bottom w:val="nil"/>
              <w:right w:val="nil"/>
            </w:tcBorders>
            <w:shd w:val="clear" w:color="auto" w:fill="auto"/>
            <w:noWrap/>
            <w:vAlign w:val="center"/>
            <w:hideMark/>
          </w:tcPr>
          <w:p w14:paraId="58F8844D" w14:textId="77777777" w:rsidR="002C403D" w:rsidRPr="0020667B" w:rsidRDefault="002C403D" w:rsidP="001C4A0B">
            <w:pPr>
              <w:spacing w:before="100" w:beforeAutospacing="1" w:after="100" w:afterAutospacing="1"/>
              <w:jc w:val="center"/>
              <w:rPr>
                <w:sz w:val="20"/>
                <w:szCs w:val="20"/>
              </w:rPr>
            </w:pPr>
          </w:p>
        </w:tc>
        <w:tc>
          <w:tcPr>
            <w:tcW w:w="1474" w:type="dxa"/>
            <w:tcBorders>
              <w:top w:val="nil"/>
              <w:left w:val="nil"/>
              <w:bottom w:val="nil"/>
              <w:right w:val="single" w:sz="4" w:space="0" w:color="auto"/>
            </w:tcBorders>
            <w:shd w:val="clear" w:color="auto" w:fill="auto"/>
            <w:noWrap/>
            <w:vAlign w:val="center"/>
            <w:hideMark/>
          </w:tcPr>
          <w:p w14:paraId="50F85377" w14:textId="77777777" w:rsidR="002C403D" w:rsidRPr="0020667B" w:rsidRDefault="002C403D" w:rsidP="001C4A0B">
            <w:pPr>
              <w:spacing w:before="100" w:beforeAutospacing="1" w:after="100" w:afterAutospacing="1"/>
              <w:jc w:val="center"/>
              <w:rPr>
                <w:sz w:val="20"/>
                <w:szCs w:val="20"/>
              </w:rPr>
            </w:pPr>
          </w:p>
        </w:tc>
        <w:tc>
          <w:tcPr>
            <w:tcW w:w="720" w:type="dxa"/>
            <w:tcBorders>
              <w:top w:val="nil"/>
              <w:left w:val="nil"/>
              <w:bottom w:val="nil"/>
              <w:right w:val="single" w:sz="4" w:space="0" w:color="auto"/>
            </w:tcBorders>
          </w:tcPr>
          <w:p w14:paraId="61A6DFBC" w14:textId="77777777" w:rsidR="002C403D" w:rsidRPr="0020667B" w:rsidRDefault="002C403D" w:rsidP="001C4A0B">
            <w:pPr>
              <w:spacing w:before="100" w:beforeAutospacing="1" w:after="100" w:afterAutospacing="1"/>
              <w:jc w:val="center"/>
              <w:rPr>
                <w:sz w:val="20"/>
                <w:szCs w:val="20"/>
              </w:rPr>
            </w:pPr>
          </w:p>
        </w:tc>
      </w:tr>
      <w:tr w:rsidR="002C403D" w:rsidRPr="0020667B" w14:paraId="16956DF7" w14:textId="77777777" w:rsidTr="002150E9">
        <w:trPr>
          <w:trHeight w:val="240"/>
        </w:trPr>
        <w:tc>
          <w:tcPr>
            <w:tcW w:w="0" w:type="auto"/>
            <w:tcBorders>
              <w:top w:val="nil"/>
              <w:left w:val="single" w:sz="8" w:space="0" w:color="auto"/>
              <w:bottom w:val="nil"/>
              <w:right w:val="nil"/>
            </w:tcBorders>
            <w:shd w:val="clear" w:color="auto" w:fill="auto"/>
            <w:noWrap/>
            <w:vAlign w:val="center"/>
            <w:hideMark/>
          </w:tcPr>
          <w:p w14:paraId="50C746E7" w14:textId="77777777" w:rsidR="002C403D" w:rsidRPr="0020667B" w:rsidRDefault="002C403D" w:rsidP="001C4A0B">
            <w:pPr>
              <w:spacing w:before="100" w:beforeAutospacing="1" w:after="100" w:afterAutospacing="1"/>
              <w:ind w:firstLineChars="200" w:firstLine="360"/>
              <w:rPr>
                <w:rFonts w:ascii="Calibri" w:hAnsi="Calibri" w:cs="Calibri"/>
                <w:color w:val="000000"/>
                <w:sz w:val="18"/>
                <w:szCs w:val="18"/>
              </w:rPr>
            </w:pPr>
            <w:r w:rsidRPr="0020667B">
              <w:rPr>
                <w:rFonts w:ascii="Calibri" w:hAnsi="Calibri" w:cs="Calibri"/>
                <w:color w:val="000000"/>
                <w:sz w:val="18"/>
                <w:szCs w:val="18"/>
              </w:rPr>
              <w:t>Baltimore City</w:t>
            </w:r>
          </w:p>
        </w:tc>
        <w:tc>
          <w:tcPr>
            <w:tcW w:w="0" w:type="auto"/>
            <w:tcBorders>
              <w:top w:val="nil"/>
              <w:left w:val="nil"/>
              <w:bottom w:val="nil"/>
              <w:right w:val="nil"/>
            </w:tcBorders>
            <w:shd w:val="clear" w:color="auto" w:fill="auto"/>
            <w:noWrap/>
            <w:vAlign w:val="center"/>
            <w:hideMark/>
          </w:tcPr>
          <w:p w14:paraId="07F7E41D"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281</w:t>
            </w:r>
          </w:p>
        </w:tc>
        <w:tc>
          <w:tcPr>
            <w:tcW w:w="0" w:type="auto"/>
            <w:tcBorders>
              <w:top w:val="nil"/>
              <w:left w:val="nil"/>
              <w:bottom w:val="nil"/>
              <w:right w:val="nil"/>
            </w:tcBorders>
            <w:shd w:val="clear" w:color="auto" w:fill="auto"/>
            <w:noWrap/>
            <w:vAlign w:val="center"/>
            <w:hideMark/>
          </w:tcPr>
          <w:p w14:paraId="4BF6D7FE"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213 (65.7)</w:t>
            </w:r>
          </w:p>
        </w:tc>
        <w:tc>
          <w:tcPr>
            <w:tcW w:w="1474" w:type="dxa"/>
            <w:tcBorders>
              <w:top w:val="nil"/>
              <w:left w:val="nil"/>
              <w:bottom w:val="nil"/>
              <w:right w:val="single" w:sz="4" w:space="0" w:color="auto"/>
            </w:tcBorders>
            <w:shd w:val="clear" w:color="auto" w:fill="auto"/>
            <w:noWrap/>
            <w:vAlign w:val="center"/>
            <w:hideMark/>
          </w:tcPr>
          <w:p w14:paraId="57C91299"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68 (73.1)</w:t>
            </w:r>
          </w:p>
        </w:tc>
        <w:tc>
          <w:tcPr>
            <w:tcW w:w="720" w:type="dxa"/>
            <w:tcBorders>
              <w:top w:val="nil"/>
              <w:left w:val="nil"/>
              <w:bottom w:val="nil"/>
              <w:right w:val="single" w:sz="4" w:space="0" w:color="auto"/>
            </w:tcBorders>
          </w:tcPr>
          <w:p w14:paraId="57DB63ED"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Pr>
                <w:rFonts w:ascii="Calibri" w:hAnsi="Calibri" w:cs="Calibri"/>
                <w:color w:val="000000"/>
                <w:sz w:val="18"/>
                <w:szCs w:val="18"/>
              </w:rPr>
              <w:t>0.181</w:t>
            </w:r>
          </w:p>
        </w:tc>
      </w:tr>
      <w:tr w:rsidR="002C403D" w:rsidRPr="0020667B" w14:paraId="2E7A62F1" w14:textId="77777777" w:rsidTr="002150E9">
        <w:trPr>
          <w:trHeight w:val="240"/>
        </w:trPr>
        <w:tc>
          <w:tcPr>
            <w:tcW w:w="0" w:type="auto"/>
            <w:tcBorders>
              <w:top w:val="nil"/>
              <w:left w:val="single" w:sz="8" w:space="0" w:color="auto"/>
              <w:bottom w:val="nil"/>
              <w:right w:val="nil"/>
            </w:tcBorders>
            <w:shd w:val="clear" w:color="auto" w:fill="auto"/>
            <w:noWrap/>
            <w:vAlign w:val="center"/>
            <w:hideMark/>
          </w:tcPr>
          <w:p w14:paraId="7DA861A9" w14:textId="77777777" w:rsidR="002C403D" w:rsidRPr="0020667B" w:rsidRDefault="002C403D" w:rsidP="001C4A0B">
            <w:pPr>
              <w:spacing w:before="100" w:beforeAutospacing="1" w:after="100" w:afterAutospacing="1"/>
              <w:ind w:firstLineChars="200" w:firstLine="360"/>
              <w:rPr>
                <w:rFonts w:ascii="Calibri" w:hAnsi="Calibri" w:cs="Calibri"/>
                <w:color w:val="000000"/>
                <w:sz w:val="18"/>
                <w:szCs w:val="18"/>
              </w:rPr>
            </w:pPr>
            <w:r w:rsidRPr="0020667B">
              <w:rPr>
                <w:rFonts w:ascii="Calibri" w:hAnsi="Calibri" w:cs="Calibri"/>
                <w:color w:val="000000"/>
                <w:sz w:val="18"/>
                <w:szCs w:val="18"/>
              </w:rPr>
              <w:t>Anne Arundel County</w:t>
            </w:r>
          </w:p>
        </w:tc>
        <w:tc>
          <w:tcPr>
            <w:tcW w:w="0" w:type="auto"/>
            <w:tcBorders>
              <w:top w:val="nil"/>
              <w:left w:val="nil"/>
              <w:bottom w:val="nil"/>
              <w:right w:val="nil"/>
            </w:tcBorders>
            <w:shd w:val="clear" w:color="auto" w:fill="auto"/>
            <w:noWrap/>
            <w:vAlign w:val="center"/>
            <w:hideMark/>
          </w:tcPr>
          <w:p w14:paraId="3FB794CB"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136</w:t>
            </w:r>
          </w:p>
        </w:tc>
        <w:tc>
          <w:tcPr>
            <w:tcW w:w="0" w:type="auto"/>
            <w:tcBorders>
              <w:top w:val="nil"/>
              <w:left w:val="nil"/>
              <w:bottom w:val="nil"/>
              <w:right w:val="nil"/>
            </w:tcBorders>
            <w:shd w:val="clear" w:color="auto" w:fill="auto"/>
            <w:noWrap/>
            <w:vAlign w:val="center"/>
            <w:hideMark/>
          </w:tcPr>
          <w:p w14:paraId="00D40817"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111 (34.3)</w:t>
            </w:r>
          </w:p>
        </w:tc>
        <w:tc>
          <w:tcPr>
            <w:tcW w:w="1474" w:type="dxa"/>
            <w:tcBorders>
              <w:top w:val="nil"/>
              <w:left w:val="nil"/>
              <w:bottom w:val="nil"/>
              <w:right w:val="single" w:sz="4" w:space="0" w:color="auto"/>
            </w:tcBorders>
            <w:shd w:val="clear" w:color="auto" w:fill="auto"/>
            <w:noWrap/>
            <w:vAlign w:val="center"/>
            <w:hideMark/>
          </w:tcPr>
          <w:p w14:paraId="614713C0"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25 (26.9)</w:t>
            </w:r>
          </w:p>
        </w:tc>
        <w:tc>
          <w:tcPr>
            <w:tcW w:w="720" w:type="dxa"/>
            <w:tcBorders>
              <w:top w:val="nil"/>
              <w:left w:val="nil"/>
              <w:bottom w:val="nil"/>
              <w:right w:val="single" w:sz="4" w:space="0" w:color="auto"/>
            </w:tcBorders>
          </w:tcPr>
          <w:p w14:paraId="7ECD8BD5"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p>
        </w:tc>
      </w:tr>
      <w:tr w:rsidR="002C403D" w:rsidRPr="0020667B" w14:paraId="05EB33F4" w14:textId="77777777" w:rsidTr="002150E9">
        <w:trPr>
          <w:trHeight w:val="240"/>
        </w:trPr>
        <w:tc>
          <w:tcPr>
            <w:tcW w:w="0" w:type="auto"/>
            <w:tcBorders>
              <w:top w:val="nil"/>
              <w:left w:val="single" w:sz="8" w:space="0" w:color="auto"/>
              <w:bottom w:val="nil"/>
              <w:right w:val="nil"/>
            </w:tcBorders>
            <w:shd w:val="clear" w:color="auto" w:fill="auto"/>
            <w:noWrap/>
            <w:vAlign w:val="center"/>
            <w:hideMark/>
          </w:tcPr>
          <w:p w14:paraId="28327512" w14:textId="77777777" w:rsidR="002C403D" w:rsidRPr="0020667B" w:rsidRDefault="002C403D" w:rsidP="001C4A0B">
            <w:pPr>
              <w:spacing w:before="100" w:beforeAutospacing="1" w:after="100" w:afterAutospacing="1"/>
              <w:rPr>
                <w:rFonts w:ascii="Calibri" w:hAnsi="Calibri" w:cs="Calibri"/>
                <w:color w:val="000000"/>
                <w:sz w:val="18"/>
                <w:szCs w:val="18"/>
              </w:rPr>
            </w:pPr>
            <w:r w:rsidRPr="0020667B">
              <w:rPr>
                <w:rFonts w:ascii="Calibri" w:hAnsi="Calibri" w:cs="Calibri"/>
                <w:color w:val="000000"/>
                <w:sz w:val="18"/>
                <w:szCs w:val="18"/>
              </w:rPr>
              <w:t>Age, mean (SD)</w:t>
            </w:r>
          </w:p>
        </w:tc>
        <w:tc>
          <w:tcPr>
            <w:tcW w:w="0" w:type="auto"/>
            <w:tcBorders>
              <w:top w:val="nil"/>
              <w:left w:val="nil"/>
              <w:bottom w:val="nil"/>
              <w:right w:val="nil"/>
            </w:tcBorders>
            <w:shd w:val="clear" w:color="auto" w:fill="auto"/>
            <w:noWrap/>
            <w:vAlign w:val="center"/>
            <w:hideMark/>
          </w:tcPr>
          <w:p w14:paraId="32C1EBE3" w14:textId="3386F92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45</w:t>
            </w:r>
            <w:r w:rsidR="007C3F25">
              <w:rPr>
                <w:rFonts w:ascii="Calibri" w:hAnsi="Calibri" w:cs="Calibri"/>
                <w:color w:val="000000"/>
                <w:sz w:val="18"/>
                <w:szCs w:val="18"/>
              </w:rPr>
              <w:t>.7</w:t>
            </w:r>
            <w:r w:rsidRPr="0020667B">
              <w:rPr>
                <w:rFonts w:ascii="Calibri" w:hAnsi="Calibri" w:cs="Calibri"/>
                <w:color w:val="000000"/>
                <w:sz w:val="18"/>
                <w:szCs w:val="18"/>
              </w:rPr>
              <w:t xml:space="preserve"> (11.5)</w:t>
            </w:r>
          </w:p>
        </w:tc>
        <w:tc>
          <w:tcPr>
            <w:tcW w:w="0" w:type="auto"/>
            <w:tcBorders>
              <w:top w:val="nil"/>
              <w:left w:val="nil"/>
              <w:bottom w:val="nil"/>
              <w:right w:val="nil"/>
            </w:tcBorders>
            <w:shd w:val="clear" w:color="auto" w:fill="auto"/>
            <w:noWrap/>
            <w:vAlign w:val="center"/>
            <w:hideMark/>
          </w:tcPr>
          <w:p w14:paraId="54832DB8"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45.5 (11.7)</w:t>
            </w:r>
          </w:p>
        </w:tc>
        <w:tc>
          <w:tcPr>
            <w:tcW w:w="1474" w:type="dxa"/>
            <w:tcBorders>
              <w:top w:val="nil"/>
              <w:left w:val="nil"/>
              <w:bottom w:val="nil"/>
              <w:right w:val="single" w:sz="4" w:space="0" w:color="auto"/>
            </w:tcBorders>
            <w:shd w:val="clear" w:color="auto" w:fill="auto"/>
            <w:noWrap/>
            <w:vAlign w:val="center"/>
            <w:hideMark/>
          </w:tcPr>
          <w:p w14:paraId="477DC5E8"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46.2 (10.6)</w:t>
            </w:r>
          </w:p>
        </w:tc>
        <w:tc>
          <w:tcPr>
            <w:tcW w:w="720" w:type="dxa"/>
            <w:tcBorders>
              <w:top w:val="nil"/>
              <w:left w:val="nil"/>
              <w:bottom w:val="nil"/>
              <w:right w:val="single" w:sz="4" w:space="0" w:color="auto"/>
            </w:tcBorders>
          </w:tcPr>
          <w:p w14:paraId="3F1E3BDC" w14:textId="32B41991" w:rsidR="002C403D" w:rsidRPr="0020667B" w:rsidRDefault="002C403D" w:rsidP="001C4A0B">
            <w:pPr>
              <w:spacing w:before="100" w:beforeAutospacing="1" w:after="100" w:afterAutospacing="1"/>
              <w:jc w:val="center"/>
              <w:rPr>
                <w:rFonts w:ascii="Calibri" w:hAnsi="Calibri" w:cs="Calibri"/>
                <w:color w:val="000000"/>
                <w:sz w:val="18"/>
                <w:szCs w:val="18"/>
              </w:rPr>
            </w:pPr>
            <w:r>
              <w:rPr>
                <w:rFonts w:ascii="Calibri" w:hAnsi="Calibri" w:cs="Calibri"/>
                <w:color w:val="000000"/>
                <w:sz w:val="18"/>
                <w:szCs w:val="18"/>
              </w:rPr>
              <w:t>0.632</w:t>
            </w:r>
            <w:r w:rsidR="00BB39FD" w:rsidRPr="002150E9">
              <w:rPr>
                <w:rFonts w:ascii="Calibri" w:hAnsi="Calibri" w:cs="Calibri"/>
                <w:color w:val="000000"/>
                <w:sz w:val="18"/>
                <w:szCs w:val="18"/>
                <w:vertAlign w:val="superscript"/>
              </w:rPr>
              <w:t>b</w:t>
            </w:r>
          </w:p>
        </w:tc>
      </w:tr>
      <w:tr w:rsidR="002C403D" w:rsidRPr="0020667B" w14:paraId="36DD70F4" w14:textId="77777777" w:rsidTr="002150E9">
        <w:trPr>
          <w:trHeight w:val="240"/>
        </w:trPr>
        <w:tc>
          <w:tcPr>
            <w:tcW w:w="0" w:type="auto"/>
            <w:tcBorders>
              <w:top w:val="nil"/>
              <w:left w:val="single" w:sz="8" w:space="0" w:color="auto"/>
              <w:bottom w:val="nil"/>
              <w:right w:val="nil"/>
            </w:tcBorders>
            <w:shd w:val="clear" w:color="auto" w:fill="auto"/>
            <w:noWrap/>
            <w:vAlign w:val="center"/>
            <w:hideMark/>
          </w:tcPr>
          <w:p w14:paraId="2B34C0A1" w14:textId="77777777" w:rsidR="002C403D" w:rsidRPr="0020667B" w:rsidRDefault="002C403D" w:rsidP="001C4A0B">
            <w:pPr>
              <w:spacing w:before="100" w:beforeAutospacing="1" w:after="100" w:afterAutospacing="1"/>
              <w:rPr>
                <w:rFonts w:ascii="Calibri" w:hAnsi="Calibri" w:cs="Calibri"/>
                <w:color w:val="000000"/>
                <w:sz w:val="18"/>
                <w:szCs w:val="18"/>
              </w:rPr>
            </w:pPr>
            <w:r w:rsidRPr="0020667B">
              <w:rPr>
                <w:rFonts w:ascii="Calibri" w:hAnsi="Calibri" w:cs="Calibri"/>
                <w:color w:val="000000"/>
                <w:sz w:val="18"/>
                <w:szCs w:val="18"/>
              </w:rPr>
              <w:t>Sex</w:t>
            </w:r>
          </w:p>
        </w:tc>
        <w:tc>
          <w:tcPr>
            <w:tcW w:w="0" w:type="auto"/>
            <w:tcBorders>
              <w:top w:val="nil"/>
              <w:left w:val="nil"/>
              <w:bottom w:val="nil"/>
              <w:right w:val="nil"/>
            </w:tcBorders>
            <w:shd w:val="clear" w:color="auto" w:fill="auto"/>
            <w:noWrap/>
            <w:vAlign w:val="bottom"/>
            <w:hideMark/>
          </w:tcPr>
          <w:p w14:paraId="21CEA1AE" w14:textId="77777777" w:rsidR="002C403D" w:rsidRPr="0020667B" w:rsidRDefault="002C403D" w:rsidP="001C4A0B">
            <w:pPr>
              <w:spacing w:before="100" w:beforeAutospacing="1" w:after="100" w:afterAutospacing="1"/>
              <w:rPr>
                <w:rFonts w:ascii="Calibri" w:hAnsi="Calibri" w:cs="Calibri"/>
                <w:color w:val="000000"/>
                <w:sz w:val="18"/>
                <w:szCs w:val="18"/>
              </w:rPr>
            </w:pPr>
          </w:p>
        </w:tc>
        <w:tc>
          <w:tcPr>
            <w:tcW w:w="0" w:type="auto"/>
            <w:tcBorders>
              <w:top w:val="nil"/>
              <w:left w:val="nil"/>
              <w:bottom w:val="nil"/>
              <w:right w:val="nil"/>
            </w:tcBorders>
            <w:shd w:val="clear" w:color="auto" w:fill="auto"/>
            <w:noWrap/>
            <w:vAlign w:val="bottom"/>
            <w:hideMark/>
          </w:tcPr>
          <w:p w14:paraId="0F1D44BD" w14:textId="77777777" w:rsidR="002C403D" w:rsidRPr="0020667B" w:rsidRDefault="002C403D" w:rsidP="001C4A0B">
            <w:pPr>
              <w:spacing w:before="100" w:beforeAutospacing="1" w:after="100" w:afterAutospacing="1"/>
              <w:jc w:val="center"/>
              <w:rPr>
                <w:sz w:val="20"/>
                <w:szCs w:val="20"/>
              </w:rPr>
            </w:pPr>
          </w:p>
        </w:tc>
        <w:tc>
          <w:tcPr>
            <w:tcW w:w="1474" w:type="dxa"/>
            <w:tcBorders>
              <w:top w:val="nil"/>
              <w:left w:val="nil"/>
              <w:bottom w:val="nil"/>
              <w:right w:val="single" w:sz="4" w:space="0" w:color="auto"/>
            </w:tcBorders>
            <w:shd w:val="clear" w:color="auto" w:fill="auto"/>
            <w:noWrap/>
            <w:vAlign w:val="bottom"/>
            <w:hideMark/>
          </w:tcPr>
          <w:p w14:paraId="70E2C6CC" w14:textId="77777777" w:rsidR="002C403D" w:rsidRPr="0020667B" w:rsidRDefault="002C403D" w:rsidP="001C4A0B">
            <w:pPr>
              <w:spacing w:before="100" w:beforeAutospacing="1" w:after="100" w:afterAutospacing="1"/>
              <w:jc w:val="center"/>
              <w:rPr>
                <w:sz w:val="20"/>
                <w:szCs w:val="20"/>
              </w:rPr>
            </w:pPr>
          </w:p>
        </w:tc>
        <w:tc>
          <w:tcPr>
            <w:tcW w:w="720" w:type="dxa"/>
            <w:tcBorders>
              <w:top w:val="nil"/>
              <w:left w:val="nil"/>
              <w:bottom w:val="nil"/>
              <w:right w:val="single" w:sz="4" w:space="0" w:color="auto"/>
            </w:tcBorders>
          </w:tcPr>
          <w:p w14:paraId="46F16C88" w14:textId="77777777" w:rsidR="002C403D" w:rsidRPr="0020667B" w:rsidRDefault="002C403D" w:rsidP="001C4A0B">
            <w:pPr>
              <w:spacing w:before="100" w:beforeAutospacing="1" w:after="100" w:afterAutospacing="1"/>
              <w:jc w:val="center"/>
              <w:rPr>
                <w:sz w:val="20"/>
                <w:szCs w:val="20"/>
              </w:rPr>
            </w:pPr>
            <w:r w:rsidRPr="00FF7989">
              <w:rPr>
                <w:rFonts w:ascii="Calibri" w:hAnsi="Calibri" w:cs="Calibri"/>
                <w:b/>
                <w:bCs/>
                <w:color w:val="000000"/>
                <w:sz w:val="18"/>
                <w:szCs w:val="18"/>
              </w:rPr>
              <w:t>0.011</w:t>
            </w:r>
          </w:p>
        </w:tc>
      </w:tr>
      <w:tr w:rsidR="002C403D" w:rsidRPr="0020667B" w14:paraId="3D42D06D" w14:textId="77777777" w:rsidTr="002150E9">
        <w:trPr>
          <w:trHeight w:val="240"/>
        </w:trPr>
        <w:tc>
          <w:tcPr>
            <w:tcW w:w="0" w:type="auto"/>
            <w:tcBorders>
              <w:top w:val="nil"/>
              <w:left w:val="single" w:sz="8" w:space="0" w:color="auto"/>
              <w:bottom w:val="nil"/>
              <w:right w:val="nil"/>
            </w:tcBorders>
            <w:shd w:val="clear" w:color="auto" w:fill="auto"/>
            <w:noWrap/>
            <w:vAlign w:val="center"/>
            <w:hideMark/>
          </w:tcPr>
          <w:p w14:paraId="6843086B" w14:textId="77777777" w:rsidR="002C403D" w:rsidRPr="0020667B" w:rsidRDefault="002C403D" w:rsidP="001C4A0B">
            <w:pPr>
              <w:spacing w:before="100" w:beforeAutospacing="1" w:after="100" w:afterAutospacing="1"/>
              <w:ind w:firstLineChars="200" w:firstLine="360"/>
              <w:rPr>
                <w:rFonts w:ascii="Calibri" w:hAnsi="Calibri" w:cs="Calibri"/>
                <w:color w:val="000000"/>
                <w:sz w:val="18"/>
                <w:szCs w:val="18"/>
              </w:rPr>
            </w:pPr>
            <w:r w:rsidRPr="0020667B">
              <w:rPr>
                <w:rFonts w:ascii="Calibri" w:hAnsi="Calibri" w:cs="Calibri"/>
                <w:color w:val="000000"/>
                <w:sz w:val="18"/>
                <w:szCs w:val="18"/>
              </w:rPr>
              <w:t>Male</w:t>
            </w:r>
          </w:p>
        </w:tc>
        <w:tc>
          <w:tcPr>
            <w:tcW w:w="0" w:type="auto"/>
            <w:tcBorders>
              <w:top w:val="nil"/>
              <w:left w:val="nil"/>
              <w:bottom w:val="nil"/>
              <w:right w:val="nil"/>
            </w:tcBorders>
            <w:shd w:val="clear" w:color="auto" w:fill="auto"/>
            <w:noWrap/>
            <w:vAlign w:val="center"/>
            <w:hideMark/>
          </w:tcPr>
          <w:p w14:paraId="6EA6F185"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258 (62.0)</w:t>
            </w:r>
          </w:p>
        </w:tc>
        <w:tc>
          <w:tcPr>
            <w:tcW w:w="0" w:type="auto"/>
            <w:tcBorders>
              <w:top w:val="nil"/>
              <w:left w:val="nil"/>
              <w:bottom w:val="nil"/>
              <w:right w:val="nil"/>
            </w:tcBorders>
            <w:shd w:val="clear" w:color="auto" w:fill="auto"/>
            <w:noWrap/>
            <w:vAlign w:val="center"/>
            <w:hideMark/>
          </w:tcPr>
          <w:p w14:paraId="158C76CD"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211 (65.1)</w:t>
            </w:r>
          </w:p>
        </w:tc>
        <w:tc>
          <w:tcPr>
            <w:tcW w:w="1474" w:type="dxa"/>
            <w:tcBorders>
              <w:top w:val="nil"/>
              <w:left w:val="nil"/>
              <w:bottom w:val="nil"/>
              <w:right w:val="single" w:sz="4" w:space="0" w:color="auto"/>
            </w:tcBorders>
            <w:shd w:val="clear" w:color="auto" w:fill="auto"/>
            <w:noWrap/>
            <w:vAlign w:val="center"/>
            <w:hideMark/>
          </w:tcPr>
          <w:p w14:paraId="48B65723"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47 (50.5)</w:t>
            </w:r>
          </w:p>
        </w:tc>
        <w:tc>
          <w:tcPr>
            <w:tcW w:w="720" w:type="dxa"/>
            <w:tcBorders>
              <w:top w:val="nil"/>
              <w:left w:val="nil"/>
              <w:bottom w:val="nil"/>
              <w:right w:val="single" w:sz="4" w:space="0" w:color="auto"/>
            </w:tcBorders>
          </w:tcPr>
          <w:p w14:paraId="1639AA31"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p>
        </w:tc>
      </w:tr>
      <w:tr w:rsidR="002C403D" w:rsidRPr="0020667B" w14:paraId="596D4AAA" w14:textId="77777777" w:rsidTr="002150E9">
        <w:trPr>
          <w:trHeight w:val="240"/>
        </w:trPr>
        <w:tc>
          <w:tcPr>
            <w:tcW w:w="0" w:type="auto"/>
            <w:tcBorders>
              <w:top w:val="nil"/>
              <w:left w:val="single" w:sz="8" w:space="0" w:color="auto"/>
              <w:bottom w:val="nil"/>
              <w:right w:val="nil"/>
            </w:tcBorders>
            <w:shd w:val="clear" w:color="auto" w:fill="auto"/>
            <w:noWrap/>
            <w:vAlign w:val="center"/>
            <w:hideMark/>
          </w:tcPr>
          <w:p w14:paraId="4742A908" w14:textId="77777777" w:rsidR="002C403D" w:rsidRPr="0020667B" w:rsidRDefault="002C403D" w:rsidP="001C4A0B">
            <w:pPr>
              <w:spacing w:before="100" w:beforeAutospacing="1" w:after="100" w:afterAutospacing="1"/>
              <w:ind w:firstLineChars="200" w:firstLine="360"/>
              <w:rPr>
                <w:rFonts w:ascii="Calibri" w:hAnsi="Calibri" w:cs="Calibri"/>
                <w:color w:val="000000"/>
                <w:sz w:val="18"/>
                <w:szCs w:val="18"/>
              </w:rPr>
            </w:pPr>
            <w:r w:rsidRPr="0020667B">
              <w:rPr>
                <w:rFonts w:ascii="Calibri" w:hAnsi="Calibri" w:cs="Calibri"/>
                <w:color w:val="000000"/>
                <w:sz w:val="18"/>
                <w:szCs w:val="18"/>
              </w:rPr>
              <w:t>Female</w:t>
            </w:r>
          </w:p>
        </w:tc>
        <w:tc>
          <w:tcPr>
            <w:tcW w:w="0" w:type="auto"/>
            <w:tcBorders>
              <w:top w:val="nil"/>
              <w:left w:val="nil"/>
              <w:bottom w:val="nil"/>
              <w:right w:val="nil"/>
            </w:tcBorders>
            <w:shd w:val="clear" w:color="auto" w:fill="auto"/>
            <w:noWrap/>
            <w:vAlign w:val="center"/>
            <w:hideMark/>
          </w:tcPr>
          <w:p w14:paraId="635B8407"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159 (38.1)</w:t>
            </w:r>
          </w:p>
        </w:tc>
        <w:tc>
          <w:tcPr>
            <w:tcW w:w="0" w:type="auto"/>
            <w:tcBorders>
              <w:top w:val="nil"/>
              <w:left w:val="nil"/>
              <w:bottom w:val="nil"/>
              <w:right w:val="nil"/>
            </w:tcBorders>
            <w:shd w:val="clear" w:color="auto" w:fill="auto"/>
            <w:noWrap/>
            <w:vAlign w:val="center"/>
            <w:hideMark/>
          </w:tcPr>
          <w:p w14:paraId="48E4DE81"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113 (34.9)</w:t>
            </w:r>
          </w:p>
        </w:tc>
        <w:tc>
          <w:tcPr>
            <w:tcW w:w="1474" w:type="dxa"/>
            <w:tcBorders>
              <w:top w:val="nil"/>
              <w:left w:val="nil"/>
              <w:bottom w:val="nil"/>
              <w:right w:val="single" w:sz="4" w:space="0" w:color="auto"/>
            </w:tcBorders>
            <w:shd w:val="clear" w:color="auto" w:fill="auto"/>
            <w:noWrap/>
            <w:vAlign w:val="center"/>
            <w:hideMark/>
          </w:tcPr>
          <w:p w14:paraId="0F38CC2A"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46 (49.5)</w:t>
            </w:r>
          </w:p>
        </w:tc>
        <w:tc>
          <w:tcPr>
            <w:tcW w:w="720" w:type="dxa"/>
            <w:tcBorders>
              <w:top w:val="nil"/>
              <w:left w:val="nil"/>
              <w:bottom w:val="nil"/>
              <w:right w:val="single" w:sz="4" w:space="0" w:color="auto"/>
            </w:tcBorders>
          </w:tcPr>
          <w:p w14:paraId="10FD1DCF" w14:textId="77777777" w:rsidR="002C403D" w:rsidRPr="00FF7989" w:rsidRDefault="002C403D" w:rsidP="001C4A0B">
            <w:pPr>
              <w:spacing w:before="100" w:beforeAutospacing="1" w:after="100" w:afterAutospacing="1"/>
              <w:jc w:val="center"/>
              <w:rPr>
                <w:rFonts w:ascii="Calibri" w:hAnsi="Calibri" w:cs="Calibri"/>
                <w:b/>
                <w:bCs/>
                <w:color w:val="000000"/>
                <w:sz w:val="18"/>
                <w:szCs w:val="18"/>
              </w:rPr>
            </w:pPr>
          </w:p>
        </w:tc>
      </w:tr>
      <w:tr w:rsidR="002C403D" w:rsidRPr="0020667B" w14:paraId="597614D3" w14:textId="77777777" w:rsidTr="002150E9">
        <w:trPr>
          <w:trHeight w:val="240"/>
        </w:trPr>
        <w:tc>
          <w:tcPr>
            <w:tcW w:w="0" w:type="auto"/>
            <w:tcBorders>
              <w:top w:val="nil"/>
              <w:left w:val="single" w:sz="8" w:space="0" w:color="auto"/>
              <w:bottom w:val="nil"/>
              <w:right w:val="nil"/>
            </w:tcBorders>
            <w:shd w:val="clear" w:color="auto" w:fill="auto"/>
            <w:noWrap/>
            <w:vAlign w:val="center"/>
            <w:hideMark/>
          </w:tcPr>
          <w:p w14:paraId="50D64C00" w14:textId="77777777" w:rsidR="002C403D" w:rsidRPr="0020667B" w:rsidRDefault="002C403D" w:rsidP="001C4A0B">
            <w:pPr>
              <w:spacing w:before="100" w:beforeAutospacing="1" w:after="100" w:afterAutospacing="1"/>
              <w:rPr>
                <w:rFonts w:ascii="Calibri" w:hAnsi="Calibri" w:cs="Calibri"/>
                <w:color w:val="000000"/>
                <w:sz w:val="18"/>
                <w:szCs w:val="18"/>
              </w:rPr>
            </w:pPr>
            <w:r w:rsidRPr="0020667B">
              <w:rPr>
                <w:rFonts w:ascii="Calibri" w:hAnsi="Calibri" w:cs="Calibri"/>
                <w:color w:val="000000"/>
                <w:sz w:val="18"/>
                <w:szCs w:val="18"/>
              </w:rPr>
              <w:t>Race/ethnicity</w:t>
            </w:r>
          </w:p>
        </w:tc>
        <w:tc>
          <w:tcPr>
            <w:tcW w:w="0" w:type="auto"/>
            <w:tcBorders>
              <w:top w:val="nil"/>
              <w:left w:val="nil"/>
              <w:bottom w:val="nil"/>
              <w:right w:val="nil"/>
            </w:tcBorders>
            <w:shd w:val="clear" w:color="auto" w:fill="auto"/>
            <w:noWrap/>
            <w:vAlign w:val="bottom"/>
            <w:hideMark/>
          </w:tcPr>
          <w:p w14:paraId="482E7996" w14:textId="77777777" w:rsidR="002C403D" w:rsidRPr="0020667B" w:rsidRDefault="002C403D" w:rsidP="001C4A0B">
            <w:pPr>
              <w:spacing w:before="100" w:beforeAutospacing="1" w:after="100" w:afterAutospacing="1"/>
              <w:rPr>
                <w:rFonts w:ascii="Calibri" w:hAnsi="Calibri" w:cs="Calibri"/>
                <w:color w:val="000000"/>
                <w:sz w:val="18"/>
                <w:szCs w:val="18"/>
              </w:rPr>
            </w:pPr>
          </w:p>
        </w:tc>
        <w:tc>
          <w:tcPr>
            <w:tcW w:w="0" w:type="auto"/>
            <w:tcBorders>
              <w:top w:val="nil"/>
              <w:left w:val="nil"/>
              <w:bottom w:val="nil"/>
              <w:right w:val="nil"/>
            </w:tcBorders>
            <w:shd w:val="clear" w:color="auto" w:fill="auto"/>
            <w:noWrap/>
            <w:vAlign w:val="bottom"/>
            <w:hideMark/>
          </w:tcPr>
          <w:p w14:paraId="39FB4450" w14:textId="77777777" w:rsidR="002C403D" w:rsidRPr="0020667B" w:rsidRDefault="002C403D" w:rsidP="001C4A0B">
            <w:pPr>
              <w:spacing w:before="100" w:beforeAutospacing="1" w:after="100" w:afterAutospacing="1"/>
              <w:jc w:val="center"/>
              <w:rPr>
                <w:sz w:val="20"/>
                <w:szCs w:val="20"/>
              </w:rPr>
            </w:pPr>
          </w:p>
        </w:tc>
        <w:tc>
          <w:tcPr>
            <w:tcW w:w="1474" w:type="dxa"/>
            <w:tcBorders>
              <w:top w:val="nil"/>
              <w:left w:val="nil"/>
              <w:bottom w:val="nil"/>
              <w:right w:val="single" w:sz="4" w:space="0" w:color="auto"/>
            </w:tcBorders>
            <w:shd w:val="clear" w:color="auto" w:fill="auto"/>
            <w:noWrap/>
            <w:vAlign w:val="bottom"/>
            <w:hideMark/>
          </w:tcPr>
          <w:p w14:paraId="77787C36" w14:textId="77777777" w:rsidR="002C403D" w:rsidRPr="0020667B" w:rsidRDefault="002C403D" w:rsidP="001C4A0B">
            <w:pPr>
              <w:spacing w:before="100" w:beforeAutospacing="1" w:after="100" w:afterAutospacing="1"/>
              <w:jc w:val="center"/>
              <w:rPr>
                <w:sz w:val="20"/>
                <w:szCs w:val="20"/>
              </w:rPr>
            </w:pPr>
          </w:p>
        </w:tc>
        <w:tc>
          <w:tcPr>
            <w:tcW w:w="720" w:type="dxa"/>
            <w:tcBorders>
              <w:top w:val="nil"/>
              <w:left w:val="nil"/>
              <w:bottom w:val="nil"/>
              <w:right w:val="single" w:sz="4" w:space="0" w:color="auto"/>
            </w:tcBorders>
          </w:tcPr>
          <w:p w14:paraId="64422AF0" w14:textId="77777777" w:rsidR="002C403D" w:rsidRPr="0020667B" w:rsidRDefault="002C403D" w:rsidP="001C4A0B">
            <w:pPr>
              <w:spacing w:before="100" w:beforeAutospacing="1" w:after="100" w:afterAutospacing="1"/>
              <w:jc w:val="center"/>
              <w:rPr>
                <w:sz w:val="20"/>
                <w:szCs w:val="20"/>
              </w:rPr>
            </w:pPr>
            <w:r>
              <w:rPr>
                <w:rFonts w:ascii="Calibri" w:hAnsi="Calibri" w:cs="Calibri"/>
                <w:color w:val="000000"/>
                <w:sz w:val="18"/>
                <w:szCs w:val="18"/>
              </w:rPr>
              <w:t>0.066</w:t>
            </w:r>
          </w:p>
        </w:tc>
      </w:tr>
      <w:tr w:rsidR="002C403D" w:rsidRPr="0020667B" w14:paraId="586597A3" w14:textId="77777777" w:rsidTr="002150E9">
        <w:trPr>
          <w:trHeight w:val="240"/>
        </w:trPr>
        <w:tc>
          <w:tcPr>
            <w:tcW w:w="0" w:type="auto"/>
            <w:tcBorders>
              <w:top w:val="nil"/>
              <w:left w:val="single" w:sz="8" w:space="0" w:color="auto"/>
              <w:bottom w:val="nil"/>
              <w:right w:val="nil"/>
            </w:tcBorders>
            <w:shd w:val="clear" w:color="auto" w:fill="auto"/>
            <w:noWrap/>
            <w:vAlign w:val="center"/>
            <w:hideMark/>
          </w:tcPr>
          <w:p w14:paraId="2209C21D" w14:textId="77777777" w:rsidR="002C403D" w:rsidRPr="0020667B" w:rsidRDefault="002C403D" w:rsidP="001C4A0B">
            <w:pPr>
              <w:spacing w:before="100" w:beforeAutospacing="1" w:after="100" w:afterAutospacing="1"/>
              <w:ind w:firstLineChars="200" w:firstLine="360"/>
              <w:rPr>
                <w:rFonts w:ascii="Calibri" w:hAnsi="Calibri" w:cs="Calibri"/>
                <w:color w:val="000000"/>
                <w:sz w:val="18"/>
                <w:szCs w:val="18"/>
              </w:rPr>
            </w:pPr>
            <w:r w:rsidRPr="0020667B">
              <w:rPr>
                <w:rFonts w:ascii="Calibri" w:hAnsi="Calibri" w:cs="Calibri"/>
                <w:color w:val="000000"/>
                <w:sz w:val="18"/>
                <w:szCs w:val="18"/>
              </w:rPr>
              <w:t>White, single race</w:t>
            </w:r>
          </w:p>
        </w:tc>
        <w:tc>
          <w:tcPr>
            <w:tcW w:w="0" w:type="auto"/>
            <w:tcBorders>
              <w:top w:val="nil"/>
              <w:left w:val="nil"/>
              <w:bottom w:val="nil"/>
              <w:right w:val="nil"/>
            </w:tcBorders>
            <w:shd w:val="clear" w:color="auto" w:fill="auto"/>
            <w:noWrap/>
            <w:vAlign w:val="center"/>
            <w:hideMark/>
          </w:tcPr>
          <w:p w14:paraId="6B6895BE"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66 (15.8)</w:t>
            </w:r>
          </w:p>
        </w:tc>
        <w:tc>
          <w:tcPr>
            <w:tcW w:w="0" w:type="auto"/>
            <w:tcBorders>
              <w:top w:val="nil"/>
              <w:left w:val="nil"/>
              <w:bottom w:val="nil"/>
              <w:right w:val="nil"/>
            </w:tcBorders>
            <w:shd w:val="clear" w:color="auto" w:fill="auto"/>
            <w:noWrap/>
            <w:vAlign w:val="center"/>
            <w:hideMark/>
          </w:tcPr>
          <w:p w14:paraId="2645979B"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45 (13.9)</w:t>
            </w:r>
          </w:p>
        </w:tc>
        <w:tc>
          <w:tcPr>
            <w:tcW w:w="1474" w:type="dxa"/>
            <w:tcBorders>
              <w:top w:val="nil"/>
              <w:left w:val="nil"/>
              <w:bottom w:val="nil"/>
              <w:right w:val="single" w:sz="4" w:space="0" w:color="auto"/>
            </w:tcBorders>
            <w:shd w:val="clear" w:color="auto" w:fill="auto"/>
            <w:noWrap/>
            <w:vAlign w:val="center"/>
            <w:hideMark/>
          </w:tcPr>
          <w:p w14:paraId="56D5D944"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21 (22.6)</w:t>
            </w:r>
          </w:p>
        </w:tc>
        <w:tc>
          <w:tcPr>
            <w:tcW w:w="720" w:type="dxa"/>
            <w:tcBorders>
              <w:top w:val="nil"/>
              <w:left w:val="nil"/>
              <w:bottom w:val="nil"/>
              <w:right w:val="single" w:sz="4" w:space="0" w:color="auto"/>
            </w:tcBorders>
          </w:tcPr>
          <w:p w14:paraId="64FCFC3D"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p>
        </w:tc>
      </w:tr>
      <w:tr w:rsidR="002C403D" w:rsidRPr="0020667B" w14:paraId="00A0FE3B" w14:textId="77777777" w:rsidTr="002150E9">
        <w:trPr>
          <w:trHeight w:val="240"/>
        </w:trPr>
        <w:tc>
          <w:tcPr>
            <w:tcW w:w="0" w:type="auto"/>
            <w:tcBorders>
              <w:top w:val="nil"/>
              <w:left w:val="single" w:sz="8" w:space="0" w:color="auto"/>
              <w:bottom w:val="nil"/>
              <w:right w:val="nil"/>
            </w:tcBorders>
            <w:shd w:val="clear" w:color="auto" w:fill="auto"/>
            <w:noWrap/>
            <w:vAlign w:val="center"/>
            <w:hideMark/>
          </w:tcPr>
          <w:p w14:paraId="4C771C22" w14:textId="77777777" w:rsidR="002C403D" w:rsidRPr="0020667B" w:rsidRDefault="002C403D" w:rsidP="001C4A0B">
            <w:pPr>
              <w:spacing w:before="100" w:beforeAutospacing="1" w:after="100" w:afterAutospacing="1"/>
              <w:ind w:firstLineChars="200" w:firstLine="360"/>
              <w:rPr>
                <w:rFonts w:ascii="Calibri" w:hAnsi="Calibri" w:cs="Calibri"/>
                <w:color w:val="000000"/>
                <w:sz w:val="18"/>
                <w:szCs w:val="18"/>
              </w:rPr>
            </w:pPr>
            <w:r w:rsidRPr="0020667B">
              <w:rPr>
                <w:rFonts w:ascii="Calibri" w:hAnsi="Calibri" w:cs="Calibri"/>
                <w:color w:val="000000"/>
                <w:sz w:val="18"/>
                <w:szCs w:val="18"/>
              </w:rPr>
              <w:t>Black, single race</w:t>
            </w:r>
          </w:p>
        </w:tc>
        <w:tc>
          <w:tcPr>
            <w:tcW w:w="0" w:type="auto"/>
            <w:tcBorders>
              <w:top w:val="nil"/>
              <w:left w:val="nil"/>
              <w:bottom w:val="nil"/>
              <w:right w:val="nil"/>
            </w:tcBorders>
            <w:shd w:val="clear" w:color="auto" w:fill="auto"/>
            <w:noWrap/>
            <w:vAlign w:val="center"/>
            <w:hideMark/>
          </w:tcPr>
          <w:p w14:paraId="107F2EFA"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307 (73.6)</w:t>
            </w:r>
          </w:p>
        </w:tc>
        <w:tc>
          <w:tcPr>
            <w:tcW w:w="0" w:type="auto"/>
            <w:tcBorders>
              <w:top w:val="nil"/>
              <w:left w:val="nil"/>
              <w:bottom w:val="nil"/>
              <w:right w:val="nil"/>
            </w:tcBorders>
            <w:shd w:val="clear" w:color="auto" w:fill="auto"/>
            <w:noWrap/>
            <w:vAlign w:val="center"/>
            <w:hideMark/>
          </w:tcPr>
          <w:p w14:paraId="7A39F280"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247 (76.2)</w:t>
            </w:r>
          </w:p>
        </w:tc>
        <w:tc>
          <w:tcPr>
            <w:tcW w:w="1474" w:type="dxa"/>
            <w:tcBorders>
              <w:top w:val="nil"/>
              <w:left w:val="nil"/>
              <w:bottom w:val="nil"/>
              <w:right w:val="single" w:sz="4" w:space="0" w:color="auto"/>
            </w:tcBorders>
            <w:shd w:val="clear" w:color="auto" w:fill="auto"/>
            <w:noWrap/>
            <w:vAlign w:val="center"/>
            <w:hideMark/>
          </w:tcPr>
          <w:p w14:paraId="1C1915DC"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60 (64.5)</w:t>
            </w:r>
          </w:p>
        </w:tc>
        <w:tc>
          <w:tcPr>
            <w:tcW w:w="720" w:type="dxa"/>
            <w:tcBorders>
              <w:top w:val="nil"/>
              <w:left w:val="nil"/>
              <w:bottom w:val="nil"/>
              <w:right w:val="single" w:sz="4" w:space="0" w:color="auto"/>
            </w:tcBorders>
          </w:tcPr>
          <w:p w14:paraId="0968480E" w14:textId="77777777" w:rsidR="002C403D" w:rsidRPr="00FF7989" w:rsidRDefault="002C403D" w:rsidP="001C4A0B">
            <w:pPr>
              <w:spacing w:before="100" w:beforeAutospacing="1" w:after="100" w:afterAutospacing="1"/>
              <w:jc w:val="center"/>
              <w:rPr>
                <w:rFonts w:ascii="Calibri" w:hAnsi="Calibri" w:cs="Calibri"/>
                <w:b/>
                <w:bCs/>
                <w:color w:val="000000"/>
                <w:sz w:val="18"/>
                <w:szCs w:val="18"/>
              </w:rPr>
            </w:pPr>
          </w:p>
        </w:tc>
      </w:tr>
      <w:tr w:rsidR="002C403D" w:rsidRPr="0020667B" w14:paraId="5293258D" w14:textId="77777777" w:rsidTr="002150E9">
        <w:trPr>
          <w:trHeight w:val="240"/>
        </w:trPr>
        <w:tc>
          <w:tcPr>
            <w:tcW w:w="0" w:type="auto"/>
            <w:tcBorders>
              <w:top w:val="nil"/>
              <w:left w:val="single" w:sz="8" w:space="0" w:color="auto"/>
              <w:bottom w:val="nil"/>
              <w:right w:val="nil"/>
            </w:tcBorders>
            <w:shd w:val="clear" w:color="auto" w:fill="auto"/>
            <w:noWrap/>
            <w:vAlign w:val="center"/>
            <w:hideMark/>
          </w:tcPr>
          <w:p w14:paraId="3B45D94D" w14:textId="77777777" w:rsidR="002C403D" w:rsidRPr="0020667B" w:rsidRDefault="002C403D" w:rsidP="001C4A0B">
            <w:pPr>
              <w:spacing w:before="100" w:beforeAutospacing="1" w:after="100" w:afterAutospacing="1"/>
              <w:ind w:firstLineChars="200" w:firstLine="360"/>
              <w:rPr>
                <w:rFonts w:ascii="Calibri" w:hAnsi="Calibri" w:cs="Calibri"/>
                <w:color w:val="000000"/>
                <w:sz w:val="18"/>
                <w:szCs w:val="18"/>
              </w:rPr>
            </w:pPr>
            <w:r w:rsidRPr="0020667B">
              <w:rPr>
                <w:rFonts w:ascii="Calibri" w:hAnsi="Calibri" w:cs="Calibri"/>
                <w:color w:val="000000"/>
                <w:sz w:val="18"/>
                <w:szCs w:val="18"/>
              </w:rPr>
              <w:t xml:space="preserve">Hispanic, Native American/Alaskan, multiracial, other        </w:t>
            </w:r>
          </w:p>
        </w:tc>
        <w:tc>
          <w:tcPr>
            <w:tcW w:w="0" w:type="auto"/>
            <w:tcBorders>
              <w:top w:val="nil"/>
              <w:left w:val="nil"/>
              <w:bottom w:val="nil"/>
              <w:right w:val="nil"/>
            </w:tcBorders>
            <w:shd w:val="clear" w:color="auto" w:fill="auto"/>
            <w:noWrap/>
            <w:vAlign w:val="center"/>
            <w:hideMark/>
          </w:tcPr>
          <w:p w14:paraId="01AE3DD6"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44 (10.6)</w:t>
            </w:r>
          </w:p>
        </w:tc>
        <w:tc>
          <w:tcPr>
            <w:tcW w:w="0" w:type="auto"/>
            <w:tcBorders>
              <w:top w:val="nil"/>
              <w:left w:val="nil"/>
              <w:bottom w:val="nil"/>
              <w:right w:val="nil"/>
            </w:tcBorders>
            <w:shd w:val="clear" w:color="auto" w:fill="auto"/>
            <w:noWrap/>
            <w:vAlign w:val="center"/>
            <w:hideMark/>
          </w:tcPr>
          <w:p w14:paraId="1486F809"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32 (9.9)</w:t>
            </w:r>
          </w:p>
        </w:tc>
        <w:tc>
          <w:tcPr>
            <w:tcW w:w="1474" w:type="dxa"/>
            <w:tcBorders>
              <w:top w:val="nil"/>
              <w:left w:val="nil"/>
              <w:bottom w:val="nil"/>
              <w:right w:val="single" w:sz="4" w:space="0" w:color="auto"/>
            </w:tcBorders>
            <w:shd w:val="clear" w:color="auto" w:fill="auto"/>
            <w:noWrap/>
            <w:vAlign w:val="center"/>
            <w:hideMark/>
          </w:tcPr>
          <w:p w14:paraId="18E63B14"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12 (12.9)</w:t>
            </w:r>
          </w:p>
        </w:tc>
        <w:tc>
          <w:tcPr>
            <w:tcW w:w="720" w:type="dxa"/>
            <w:tcBorders>
              <w:top w:val="nil"/>
              <w:left w:val="nil"/>
              <w:bottom w:val="nil"/>
              <w:right w:val="single" w:sz="4" w:space="0" w:color="auto"/>
            </w:tcBorders>
          </w:tcPr>
          <w:p w14:paraId="53753586"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p>
        </w:tc>
      </w:tr>
      <w:tr w:rsidR="002C403D" w:rsidRPr="0020667B" w14:paraId="0D1FE7C5" w14:textId="77777777" w:rsidTr="002150E9">
        <w:trPr>
          <w:trHeight w:val="240"/>
        </w:trPr>
        <w:tc>
          <w:tcPr>
            <w:tcW w:w="0" w:type="auto"/>
            <w:tcBorders>
              <w:top w:val="nil"/>
              <w:left w:val="single" w:sz="8" w:space="0" w:color="auto"/>
              <w:bottom w:val="nil"/>
              <w:right w:val="nil"/>
            </w:tcBorders>
            <w:shd w:val="clear" w:color="auto" w:fill="auto"/>
            <w:noWrap/>
            <w:vAlign w:val="center"/>
            <w:hideMark/>
          </w:tcPr>
          <w:p w14:paraId="72148430" w14:textId="77777777" w:rsidR="002C403D" w:rsidRPr="0020667B" w:rsidRDefault="002C403D" w:rsidP="001C4A0B">
            <w:pPr>
              <w:spacing w:before="100" w:beforeAutospacing="1" w:after="100" w:afterAutospacing="1"/>
              <w:rPr>
                <w:rFonts w:ascii="Calibri" w:hAnsi="Calibri" w:cs="Calibri"/>
                <w:color w:val="000000"/>
                <w:sz w:val="18"/>
                <w:szCs w:val="18"/>
              </w:rPr>
            </w:pPr>
            <w:r w:rsidRPr="0020667B">
              <w:rPr>
                <w:rFonts w:ascii="Calibri" w:hAnsi="Calibri" w:cs="Calibri"/>
                <w:color w:val="000000"/>
                <w:sz w:val="18"/>
                <w:szCs w:val="18"/>
              </w:rPr>
              <w:t>Did not complete high school/GED</w:t>
            </w:r>
          </w:p>
        </w:tc>
        <w:tc>
          <w:tcPr>
            <w:tcW w:w="0" w:type="auto"/>
            <w:tcBorders>
              <w:top w:val="nil"/>
              <w:left w:val="nil"/>
              <w:bottom w:val="nil"/>
              <w:right w:val="nil"/>
            </w:tcBorders>
            <w:shd w:val="clear" w:color="auto" w:fill="auto"/>
            <w:noWrap/>
            <w:vAlign w:val="center"/>
            <w:hideMark/>
          </w:tcPr>
          <w:p w14:paraId="182009D8"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160 (38.4)</w:t>
            </w:r>
          </w:p>
        </w:tc>
        <w:tc>
          <w:tcPr>
            <w:tcW w:w="0" w:type="auto"/>
            <w:tcBorders>
              <w:top w:val="nil"/>
              <w:left w:val="nil"/>
              <w:bottom w:val="nil"/>
              <w:right w:val="nil"/>
            </w:tcBorders>
            <w:shd w:val="clear" w:color="auto" w:fill="auto"/>
            <w:noWrap/>
            <w:vAlign w:val="center"/>
            <w:hideMark/>
          </w:tcPr>
          <w:p w14:paraId="2026663B"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113 (34.9)</w:t>
            </w:r>
          </w:p>
        </w:tc>
        <w:tc>
          <w:tcPr>
            <w:tcW w:w="1474" w:type="dxa"/>
            <w:tcBorders>
              <w:top w:val="nil"/>
              <w:left w:val="nil"/>
              <w:bottom w:val="nil"/>
              <w:right w:val="single" w:sz="4" w:space="0" w:color="auto"/>
            </w:tcBorders>
            <w:shd w:val="clear" w:color="auto" w:fill="auto"/>
            <w:noWrap/>
            <w:vAlign w:val="center"/>
            <w:hideMark/>
          </w:tcPr>
          <w:p w14:paraId="7C2CB933"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47 (50.5)</w:t>
            </w:r>
          </w:p>
        </w:tc>
        <w:tc>
          <w:tcPr>
            <w:tcW w:w="720" w:type="dxa"/>
            <w:tcBorders>
              <w:top w:val="nil"/>
              <w:left w:val="nil"/>
              <w:bottom w:val="nil"/>
              <w:right w:val="single" w:sz="4" w:space="0" w:color="auto"/>
            </w:tcBorders>
          </w:tcPr>
          <w:p w14:paraId="5AC9DC93" w14:textId="77777777" w:rsidR="002C403D" w:rsidRPr="00FF7989" w:rsidRDefault="002C403D" w:rsidP="001C4A0B">
            <w:pPr>
              <w:spacing w:before="100" w:beforeAutospacing="1" w:after="100" w:afterAutospacing="1"/>
              <w:jc w:val="center"/>
              <w:rPr>
                <w:rFonts w:ascii="Calibri" w:hAnsi="Calibri" w:cs="Calibri"/>
                <w:b/>
                <w:bCs/>
                <w:color w:val="000000"/>
                <w:sz w:val="18"/>
                <w:szCs w:val="18"/>
              </w:rPr>
            </w:pPr>
            <w:r w:rsidRPr="00FF7989">
              <w:rPr>
                <w:rFonts w:ascii="Calibri" w:hAnsi="Calibri" w:cs="Calibri"/>
                <w:b/>
                <w:bCs/>
                <w:color w:val="000000"/>
                <w:sz w:val="18"/>
                <w:szCs w:val="18"/>
              </w:rPr>
              <w:t>0.00</w:t>
            </w:r>
            <w:r>
              <w:rPr>
                <w:rFonts w:ascii="Calibri" w:hAnsi="Calibri" w:cs="Calibri"/>
                <w:b/>
                <w:bCs/>
                <w:color w:val="000000"/>
                <w:sz w:val="18"/>
                <w:szCs w:val="18"/>
              </w:rPr>
              <w:t>6</w:t>
            </w:r>
          </w:p>
        </w:tc>
      </w:tr>
      <w:tr w:rsidR="002C403D" w:rsidRPr="0020667B" w14:paraId="6324FDC2" w14:textId="77777777" w:rsidTr="002150E9">
        <w:trPr>
          <w:trHeight w:val="240"/>
        </w:trPr>
        <w:tc>
          <w:tcPr>
            <w:tcW w:w="0" w:type="auto"/>
            <w:tcBorders>
              <w:top w:val="nil"/>
              <w:left w:val="single" w:sz="8" w:space="0" w:color="auto"/>
              <w:bottom w:val="nil"/>
              <w:right w:val="nil"/>
            </w:tcBorders>
            <w:shd w:val="clear" w:color="auto" w:fill="auto"/>
            <w:noWrap/>
            <w:vAlign w:val="center"/>
            <w:hideMark/>
          </w:tcPr>
          <w:p w14:paraId="1C0B276B" w14:textId="77777777" w:rsidR="002C403D" w:rsidRPr="0020667B" w:rsidRDefault="002C403D" w:rsidP="001C4A0B">
            <w:pPr>
              <w:spacing w:before="100" w:beforeAutospacing="1" w:after="100" w:afterAutospacing="1"/>
              <w:rPr>
                <w:rFonts w:ascii="Calibri" w:hAnsi="Calibri" w:cs="Calibri"/>
                <w:color w:val="000000"/>
                <w:sz w:val="18"/>
                <w:szCs w:val="18"/>
              </w:rPr>
            </w:pPr>
            <w:r w:rsidRPr="0020667B">
              <w:rPr>
                <w:rFonts w:ascii="Calibri" w:hAnsi="Calibri" w:cs="Calibri"/>
                <w:color w:val="000000"/>
                <w:sz w:val="18"/>
                <w:szCs w:val="18"/>
              </w:rPr>
              <w:t>Full- or part-time legal employment as primary income source, past 3 months</w:t>
            </w:r>
          </w:p>
        </w:tc>
        <w:tc>
          <w:tcPr>
            <w:tcW w:w="0" w:type="auto"/>
            <w:tcBorders>
              <w:top w:val="nil"/>
              <w:left w:val="nil"/>
              <w:bottom w:val="nil"/>
              <w:right w:val="nil"/>
            </w:tcBorders>
            <w:shd w:val="clear" w:color="auto" w:fill="auto"/>
            <w:noWrap/>
            <w:vAlign w:val="center"/>
            <w:hideMark/>
          </w:tcPr>
          <w:p w14:paraId="72F3E5D8"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53 (12.7)</w:t>
            </w:r>
          </w:p>
        </w:tc>
        <w:tc>
          <w:tcPr>
            <w:tcW w:w="0" w:type="auto"/>
            <w:tcBorders>
              <w:top w:val="nil"/>
              <w:left w:val="nil"/>
              <w:bottom w:val="nil"/>
              <w:right w:val="nil"/>
            </w:tcBorders>
            <w:shd w:val="clear" w:color="auto" w:fill="auto"/>
            <w:noWrap/>
            <w:vAlign w:val="center"/>
            <w:hideMark/>
          </w:tcPr>
          <w:p w14:paraId="11C59598"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44 (13.6)</w:t>
            </w:r>
          </w:p>
        </w:tc>
        <w:tc>
          <w:tcPr>
            <w:tcW w:w="1474" w:type="dxa"/>
            <w:tcBorders>
              <w:top w:val="nil"/>
              <w:left w:val="nil"/>
              <w:bottom w:val="nil"/>
              <w:right w:val="single" w:sz="4" w:space="0" w:color="auto"/>
            </w:tcBorders>
            <w:shd w:val="clear" w:color="auto" w:fill="auto"/>
            <w:noWrap/>
            <w:vAlign w:val="center"/>
            <w:hideMark/>
          </w:tcPr>
          <w:p w14:paraId="6408A116"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9 (9.7)</w:t>
            </w:r>
          </w:p>
        </w:tc>
        <w:tc>
          <w:tcPr>
            <w:tcW w:w="720" w:type="dxa"/>
            <w:tcBorders>
              <w:top w:val="nil"/>
              <w:left w:val="nil"/>
              <w:bottom w:val="nil"/>
              <w:right w:val="single" w:sz="4" w:space="0" w:color="auto"/>
            </w:tcBorders>
          </w:tcPr>
          <w:p w14:paraId="3A18C406" w14:textId="3FDD65FA" w:rsidR="002C403D" w:rsidRPr="0020667B" w:rsidRDefault="002C403D" w:rsidP="001C4A0B">
            <w:pPr>
              <w:spacing w:before="100" w:beforeAutospacing="1" w:after="100" w:afterAutospacing="1"/>
              <w:jc w:val="center"/>
              <w:rPr>
                <w:rFonts w:ascii="Calibri" w:hAnsi="Calibri" w:cs="Calibri"/>
                <w:color w:val="000000"/>
                <w:sz w:val="18"/>
                <w:szCs w:val="18"/>
              </w:rPr>
            </w:pPr>
            <w:r>
              <w:rPr>
                <w:rFonts w:ascii="Calibri" w:hAnsi="Calibri" w:cs="Calibri"/>
                <w:color w:val="000000"/>
                <w:sz w:val="18"/>
                <w:szCs w:val="18"/>
              </w:rPr>
              <w:t>0.3</w:t>
            </w:r>
            <w:r w:rsidR="00BB39FD">
              <w:rPr>
                <w:rFonts w:ascii="Calibri" w:hAnsi="Calibri" w:cs="Calibri"/>
                <w:color w:val="000000"/>
                <w:sz w:val="18"/>
                <w:szCs w:val="18"/>
              </w:rPr>
              <w:t>19</w:t>
            </w:r>
          </w:p>
        </w:tc>
      </w:tr>
      <w:tr w:rsidR="002C403D" w:rsidRPr="0020667B" w14:paraId="23D580D1" w14:textId="77777777" w:rsidTr="002150E9">
        <w:trPr>
          <w:trHeight w:val="240"/>
        </w:trPr>
        <w:tc>
          <w:tcPr>
            <w:tcW w:w="0" w:type="auto"/>
            <w:tcBorders>
              <w:top w:val="nil"/>
              <w:left w:val="single" w:sz="8" w:space="0" w:color="auto"/>
              <w:bottom w:val="nil"/>
              <w:right w:val="nil"/>
            </w:tcBorders>
            <w:shd w:val="clear" w:color="auto" w:fill="auto"/>
            <w:noWrap/>
            <w:vAlign w:val="center"/>
            <w:hideMark/>
          </w:tcPr>
          <w:p w14:paraId="1D27E4AE" w14:textId="77777777" w:rsidR="002C403D" w:rsidRPr="0020667B" w:rsidRDefault="002C403D" w:rsidP="001C4A0B">
            <w:pPr>
              <w:spacing w:before="100" w:beforeAutospacing="1" w:after="100" w:afterAutospacing="1"/>
              <w:rPr>
                <w:rFonts w:ascii="Calibri" w:hAnsi="Calibri" w:cs="Calibri"/>
                <w:color w:val="000000"/>
                <w:sz w:val="18"/>
                <w:szCs w:val="18"/>
              </w:rPr>
            </w:pPr>
            <w:r>
              <w:rPr>
                <w:rFonts w:ascii="Calibri" w:hAnsi="Calibri" w:cs="Calibri"/>
                <w:color w:val="000000"/>
                <w:sz w:val="18"/>
                <w:szCs w:val="18"/>
              </w:rPr>
              <w:t>C</w:t>
            </w:r>
            <w:r w:rsidRPr="00C1612F">
              <w:rPr>
                <w:rFonts w:ascii="Calibri" w:hAnsi="Calibri" w:cs="Calibri"/>
                <w:color w:val="000000"/>
                <w:sz w:val="18"/>
                <w:szCs w:val="18"/>
              </w:rPr>
              <w:t>urrently unstably housed</w:t>
            </w:r>
          </w:p>
        </w:tc>
        <w:tc>
          <w:tcPr>
            <w:tcW w:w="0" w:type="auto"/>
            <w:tcBorders>
              <w:top w:val="nil"/>
              <w:left w:val="nil"/>
              <w:bottom w:val="nil"/>
              <w:right w:val="nil"/>
            </w:tcBorders>
            <w:shd w:val="clear" w:color="auto" w:fill="auto"/>
            <w:noWrap/>
            <w:vAlign w:val="center"/>
            <w:hideMark/>
          </w:tcPr>
          <w:p w14:paraId="1E7C9B97"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266 (63.8)</w:t>
            </w:r>
          </w:p>
        </w:tc>
        <w:tc>
          <w:tcPr>
            <w:tcW w:w="0" w:type="auto"/>
            <w:tcBorders>
              <w:top w:val="nil"/>
              <w:left w:val="nil"/>
              <w:bottom w:val="nil"/>
              <w:right w:val="nil"/>
            </w:tcBorders>
            <w:shd w:val="clear" w:color="auto" w:fill="auto"/>
            <w:noWrap/>
            <w:vAlign w:val="center"/>
            <w:hideMark/>
          </w:tcPr>
          <w:p w14:paraId="2D69A20F"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206 (63.6)</w:t>
            </w:r>
          </w:p>
        </w:tc>
        <w:tc>
          <w:tcPr>
            <w:tcW w:w="1474" w:type="dxa"/>
            <w:tcBorders>
              <w:top w:val="nil"/>
              <w:left w:val="nil"/>
              <w:bottom w:val="nil"/>
              <w:right w:val="single" w:sz="4" w:space="0" w:color="auto"/>
            </w:tcBorders>
            <w:shd w:val="clear" w:color="auto" w:fill="auto"/>
            <w:noWrap/>
            <w:vAlign w:val="center"/>
            <w:hideMark/>
          </w:tcPr>
          <w:p w14:paraId="487AE7C0"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60 (64.5)</w:t>
            </w:r>
          </w:p>
        </w:tc>
        <w:tc>
          <w:tcPr>
            <w:tcW w:w="720" w:type="dxa"/>
            <w:tcBorders>
              <w:top w:val="nil"/>
              <w:left w:val="nil"/>
              <w:bottom w:val="nil"/>
              <w:right w:val="single" w:sz="4" w:space="0" w:color="auto"/>
            </w:tcBorders>
          </w:tcPr>
          <w:p w14:paraId="2E198379"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Pr>
                <w:rFonts w:ascii="Calibri" w:hAnsi="Calibri" w:cs="Calibri"/>
                <w:color w:val="000000"/>
                <w:sz w:val="18"/>
                <w:szCs w:val="18"/>
              </w:rPr>
              <w:t>0.869</w:t>
            </w:r>
          </w:p>
        </w:tc>
      </w:tr>
      <w:tr w:rsidR="002C403D" w:rsidRPr="0020667B" w14:paraId="08FDB882" w14:textId="77777777" w:rsidTr="002150E9">
        <w:trPr>
          <w:trHeight w:val="255"/>
        </w:trPr>
        <w:tc>
          <w:tcPr>
            <w:tcW w:w="0" w:type="auto"/>
            <w:gridSpan w:val="2"/>
            <w:tcBorders>
              <w:top w:val="single" w:sz="8" w:space="0" w:color="auto"/>
              <w:left w:val="single" w:sz="8" w:space="0" w:color="auto"/>
              <w:bottom w:val="single" w:sz="8" w:space="0" w:color="auto"/>
              <w:right w:val="nil"/>
            </w:tcBorders>
            <w:shd w:val="clear" w:color="auto" w:fill="auto"/>
            <w:noWrap/>
            <w:vAlign w:val="center"/>
            <w:hideMark/>
          </w:tcPr>
          <w:p w14:paraId="6615CE56" w14:textId="77777777" w:rsidR="002C403D" w:rsidRPr="0020667B" w:rsidRDefault="002C403D" w:rsidP="001C4A0B">
            <w:pPr>
              <w:spacing w:before="100" w:beforeAutospacing="1" w:after="100" w:afterAutospacing="1"/>
              <w:rPr>
                <w:rFonts w:ascii="Calibri" w:hAnsi="Calibri" w:cs="Calibri"/>
                <w:b/>
                <w:bCs/>
                <w:color w:val="000000"/>
                <w:sz w:val="18"/>
                <w:szCs w:val="18"/>
              </w:rPr>
            </w:pPr>
            <w:r w:rsidRPr="0020667B">
              <w:rPr>
                <w:rFonts w:ascii="Calibri" w:hAnsi="Calibri" w:cs="Calibri"/>
                <w:b/>
                <w:bCs/>
                <w:color w:val="000000"/>
                <w:sz w:val="18"/>
                <w:szCs w:val="18"/>
              </w:rPr>
              <w:t>Health care service access and utilization</w:t>
            </w:r>
          </w:p>
        </w:tc>
        <w:tc>
          <w:tcPr>
            <w:tcW w:w="0" w:type="auto"/>
            <w:tcBorders>
              <w:top w:val="single" w:sz="8" w:space="0" w:color="auto"/>
              <w:left w:val="nil"/>
              <w:bottom w:val="single" w:sz="8" w:space="0" w:color="auto"/>
              <w:right w:val="nil"/>
            </w:tcBorders>
            <w:shd w:val="clear" w:color="auto" w:fill="auto"/>
            <w:noWrap/>
            <w:vAlign w:val="bottom"/>
            <w:hideMark/>
          </w:tcPr>
          <w:p w14:paraId="6D999B05"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 </w:t>
            </w:r>
          </w:p>
        </w:tc>
        <w:tc>
          <w:tcPr>
            <w:tcW w:w="1474" w:type="dxa"/>
            <w:tcBorders>
              <w:top w:val="single" w:sz="8" w:space="0" w:color="auto"/>
              <w:left w:val="nil"/>
              <w:bottom w:val="single" w:sz="8" w:space="0" w:color="auto"/>
              <w:right w:val="single" w:sz="4" w:space="0" w:color="auto"/>
            </w:tcBorders>
            <w:shd w:val="clear" w:color="auto" w:fill="auto"/>
            <w:noWrap/>
            <w:vAlign w:val="bottom"/>
            <w:hideMark/>
          </w:tcPr>
          <w:p w14:paraId="38DD1098"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 </w:t>
            </w:r>
          </w:p>
        </w:tc>
        <w:tc>
          <w:tcPr>
            <w:tcW w:w="720" w:type="dxa"/>
            <w:tcBorders>
              <w:top w:val="single" w:sz="8" w:space="0" w:color="auto"/>
              <w:left w:val="nil"/>
              <w:bottom w:val="single" w:sz="8" w:space="0" w:color="auto"/>
              <w:right w:val="single" w:sz="4" w:space="0" w:color="auto"/>
            </w:tcBorders>
          </w:tcPr>
          <w:p w14:paraId="13D261C7"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p>
        </w:tc>
      </w:tr>
      <w:tr w:rsidR="002C403D" w:rsidRPr="0020667B" w14:paraId="09194854" w14:textId="77777777" w:rsidTr="002150E9">
        <w:trPr>
          <w:trHeight w:val="240"/>
        </w:trPr>
        <w:tc>
          <w:tcPr>
            <w:tcW w:w="0" w:type="auto"/>
            <w:tcBorders>
              <w:top w:val="nil"/>
              <w:left w:val="single" w:sz="8" w:space="0" w:color="auto"/>
              <w:bottom w:val="nil"/>
              <w:right w:val="nil"/>
            </w:tcBorders>
            <w:shd w:val="clear" w:color="auto" w:fill="auto"/>
            <w:noWrap/>
            <w:vAlign w:val="center"/>
            <w:hideMark/>
          </w:tcPr>
          <w:p w14:paraId="089C02F6" w14:textId="77777777" w:rsidR="002C403D" w:rsidRPr="0020667B" w:rsidRDefault="002C403D" w:rsidP="001C4A0B">
            <w:pPr>
              <w:spacing w:before="100" w:beforeAutospacing="1" w:after="100" w:afterAutospacing="1"/>
              <w:rPr>
                <w:rFonts w:ascii="Calibri" w:hAnsi="Calibri" w:cs="Calibri"/>
                <w:color w:val="000000"/>
                <w:sz w:val="18"/>
                <w:szCs w:val="18"/>
              </w:rPr>
            </w:pPr>
            <w:r w:rsidRPr="0020667B">
              <w:rPr>
                <w:rFonts w:ascii="Calibri" w:hAnsi="Calibri" w:cs="Calibri"/>
                <w:color w:val="000000"/>
                <w:sz w:val="18"/>
                <w:szCs w:val="18"/>
              </w:rPr>
              <w:t>Has health insurance</w:t>
            </w:r>
          </w:p>
        </w:tc>
        <w:tc>
          <w:tcPr>
            <w:tcW w:w="0" w:type="auto"/>
            <w:tcBorders>
              <w:top w:val="nil"/>
              <w:left w:val="nil"/>
              <w:bottom w:val="nil"/>
              <w:right w:val="nil"/>
            </w:tcBorders>
            <w:shd w:val="clear" w:color="auto" w:fill="auto"/>
            <w:noWrap/>
            <w:vAlign w:val="center"/>
            <w:hideMark/>
          </w:tcPr>
          <w:p w14:paraId="642A3F87"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338 (81.3)</w:t>
            </w:r>
          </w:p>
        </w:tc>
        <w:tc>
          <w:tcPr>
            <w:tcW w:w="0" w:type="auto"/>
            <w:tcBorders>
              <w:top w:val="nil"/>
              <w:left w:val="nil"/>
              <w:bottom w:val="nil"/>
              <w:right w:val="nil"/>
            </w:tcBorders>
            <w:shd w:val="clear" w:color="auto" w:fill="auto"/>
            <w:noWrap/>
            <w:vAlign w:val="center"/>
            <w:hideMark/>
          </w:tcPr>
          <w:p w14:paraId="43D405AB"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261 (80.8)</w:t>
            </w:r>
          </w:p>
        </w:tc>
        <w:tc>
          <w:tcPr>
            <w:tcW w:w="1474" w:type="dxa"/>
            <w:tcBorders>
              <w:top w:val="nil"/>
              <w:left w:val="nil"/>
              <w:bottom w:val="nil"/>
              <w:right w:val="single" w:sz="4" w:space="0" w:color="auto"/>
            </w:tcBorders>
            <w:shd w:val="clear" w:color="auto" w:fill="auto"/>
            <w:noWrap/>
            <w:vAlign w:val="center"/>
            <w:hideMark/>
          </w:tcPr>
          <w:p w14:paraId="37EA52FA"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77 (82.8)</w:t>
            </w:r>
          </w:p>
        </w:tc>
        <w:tc>
          <w:tcPr>
            <w:tcW w:w="720" w:type="dxa"/>
            <w:tcBorders>
              <w:top w:val="nil"/>
              <w:left w:val="nil"/>
              <w:bottom w:val="nil"/>
              <w:right w:val="single" w:sz="4" w:space="0" w:color="auto"/>
            </w:tcBorders>
          </w:tcPr>
          <w:p w14:paraId="337E2334"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Pr>
                <w:rFonts w:ascii="Calibri" w:hAnsi="Calibri" w:cs="Calibri"/>
                <w:color w:val="000000"/>
                <w:sz w:val="18"/>
                <w:szCs w:val="18"/>
              </w:rPr>
              <w:t>0.665</w:t>
            </w:r>
          </w:p>
        </w:tc>
      </w:tr>
      <w:tr w:rsidR="002C403D" w:rsidRPr="0020667B" w14:paraId="4FFD8581" w14:textId="77777777" w:rsidTr="002150E9">
        <w:trPr>
          <w:trHeight w:val="240"/>
        </w:trPr>
        <w:tc>
          <w:tcPr>
            <w:tcW w:w="0" w:type="auto"/>
            <w:tcBorders>
              <w:top w:val="nil"/>
              <w:left w:val="single" w:sz="8" w:space="0" w:color="auto"/>
              <w:bottom w:val="nil"/>
              <w:right w:val="nil"/>
            </w:tcBorders>
            <w:shd w:val="clear" w:color="auto" w:fill="auto"/>
            <w:noWrap/>
            <w:vAlign w:val="center"/>
            <w:hideMark/>
          </w:tcPr>
          <w:p w14:paraId="29F8681A" w14:textId="77777777" w:rsidR="002C403D" w:rsidRPr="0020667B" w:rsidRDefault="002C403D" w:rsidP="001C4A0B">
            <w:pPr>
              <w:spacing w:before="100" w:beforeAutospacing="1" w:after="100" w:afterAutospacing="1"/>
              <w:rPr>
                <w:rFonts w:ascii="Calibri" w:hAnsi="Calibri" w:cs="Calibri"/>
                <w:color w:val="000000"/>
                <w:sz w:val="18"/>
                <w:szCs w:val="18"/>
              </w:rPr>
            </w:pPr>
            <w:r w:rsidRPr="0020667B">
              <w:rPr>
                <w:rFonts w:ascii="Calibri" w:hAnsi="Calibri" w:cs="Calibri"/>
                <w:color w:val="000000"/>
                <w:sz w:val="18"/>
                <w:szCs w:val="18"/>
              </w:rPr>
              <w:t>ER visit, past 3 months</w:t>
            </w:r>
          </w:p>
        </w:tc>
        <w:tc>
          <w:tcPr>
            <w:tcW w:w="0" w:type="auto"/>
            <w:tcBorders>
              <w:top w:val="nil"/>
              <w:left w:val="nil"/>
              <w:bottom w:val="nil"/>
              <w:right w:val="nil"/>
            </w:tcBorders>
            <w:shd w:val="clear" w:color="auto" w:fill="auto"/>
            <w:noWrap/>
            <w:vAlign w:val="center"/>
            <w:hideMark/>
          </w:tcPr>
          <w:p w14:paraId="39BE8004"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123 (29.6)</w:t>
            </w:r>
          </w:p>
        </w:tc>
        <w:tc>
          <w:tcPr>
            <w:tcW w:w="0" w:type="auto"/>
            <w:tcBorders>
              <w:top w:val="nil"/>
              <w:left w:val="nil"/>
              <w:bottom w:val="nil"/>
              <w:right w:val="nil"/>
            </w:tcBorders>
            <w:shd w:val="clear" w:color="auto" w:fill="auto"/>
            <w:noWrap/>
            <w:vAlign w:val="center"/>
            <w:hideMark/>
          </w:tcPr>
          <w:p w14:paraId="5C41F9BC"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89 (27.5)</w:t>
            </w:r>
          </w:p>
        </w:tc>
        <w:tc>
          <w:tcPr>
            <w:tcW w:w="1474" w:type="dxa"/>
            <w:tcBorders>
              <w:top w:val="nil"/>
              <w:left w:val="nil"/>
              <w:bottom w:val="nil"/>
              <w:right w:val="single" w:sz="4" w:space="0" w:color="auto"/>
            </w:tcBorders>
            <w:shd w:val="clear" w:color="auto" w:fill="auto"/>
            <w:noWrap/>
            <w:vAlign w:val="center"/>
            <w:hideMark/>
          </w:tcPr>
          <w:p w14:paraId="6A168ACB"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34 (37.0)</w:t>
            </w:r>
          </w:p>
        </w:tc>
        <w:tc>
          <w:tcPr>
            <w:tcW w:w="720" w:type="dxa"/>
            <w:tcBorders>
              <w:top w:val="nil"/>
              <w:left w:val="nil"/>
              <w:bottom w:val="nil"/>
              <w:right w:val="single" w:sz="4" w:space="0" w:color="auto"/>
            </w:tcBorders>
          </w:tcPr>
          <w:p w14:paraId="7DD7845B"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Pr>
                <w:rFonts w:ascii="Calibri" w:hAnsi="Calibri" w:cs="Calibri"/>
                <w:color w:val="000000"/>
                <w:sz w:val="18"/>
                <w:szCs w:val="18"/>
              </w:rPr>
              <w:t>0.078</w:t>
            </w:r>
          </w:p>
        </w:tc>
      </w:tr>
      <w:tr w:rsidR="002C403D" w:rsidRPr="0020667B" w14:paraId="0D2948E4" w14:textId="77777777" w:rsidTr="002150E9">
        <w:trPr>
          <w:trHeight w:val="255"/>
        </w:trPr>
        <w:tc>
          <w:tcPr>
            <w:tcW w:w="0" w:type="auto"/>
            <w:tcBorders>
              <w:top w:val="nil"/>
              <w:left w:val="single" w:sz="8" w:space="0" w:color="auto"/>
              <w:bottom w:val="nil"/>
              <w:right w:val="nil"/>
            </w:tcBorders>
            <w:shd w:val="clear" w:color="auto" w:fill="auto"/>
            <w:noWrap/>
            <w:vAlign w:val="center"/>
            <w:hideMark/>
          </w:tcPr>
          <w:p w14:paraId="4BF775D0" w14:textId="77777777" w:rsidR="002C403D" w:rsidRPr="0020667B" w:rsidRDefault="002C403D" w:rsidP="001C4A0B">
            <w:pPr>
              <w:spacing w:before="100" w:beforeAutospacing="1" w:after="100" w:afterAutospacing="1"/>
              <w:rPr>
                <w:rFonts w:ascii="Calibri" w:hAnsi="Calibri" w:cs="Calibri"/>
                <w:color w:val="000000"/>
                <w:sz w:val="18"/>
                <w:szCs w:val="18"/>
              </w:rPr>
            </w:pPr>
            <w:r w:rsidRPr="0020667B">
              <w:rPr>
                <w:rFonts w:ascii="Calibri" w:hAnsi="Calibri" w:cs="Calibri"/>
                <w:color w:val="000000"/>
                <w:sz w:val="18"/>
                <w:szCs w:val="18"/>
              </w:rPr>
              <w:t>Received mental health treatment, past 6 months</w:t>
            </w:r>
          </w:p>
        </w:tc>
        <w:tc>
          <w:tcPr>
            <w:tcW w:w="0" w:type="auto"/>
            <w:tcBorders>
              <w:top w:val="nil"/>
              <w:left w:val="nil"/>
              <w:bottom w:val="nil"/>
              <w:right w:val="nil"/>
            </w:tcBorders>
            <w:shd w:val="clear" w:color="auto" w:fill="auto"/>
            <w:noWrap/>
            <w:vAlign w:val="center"/>
            <w:hideMark/>
          </w:tcPr>
          <w:p w14:paraId="6F6F7F22"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165 (39.6)</w:t>
            </w:r>
          </w:p>
        </w:tc>
        <w:tc>
          <w:tcPr>
            <w:tcW w:w="0" w:type="auto"/>
            <w:tcBorders>
              <w:top w:val="nil"/>
              <w:left w:val="nil"/>
              <w:bottom w:val="nil"/>
              <w:right w:val="nil"/>
            </w:tcBorders>
            <w:shd w:val="clear" w:color="auto" w:fill="auto"/>
            <w:noWrap/>
            <w:vAlign w:val="center"/>
            <w:hideMark/>
          </w:tcPr>
          <w:p w14:paraId="236D1BA3"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115 (35.5)</w:t>
            </w:r>
          </w:p>
        </w:tc>
        <w:tc>
          <w:tcPr>
            <w:tcW w:w="1474" w:type="dxa"/>
            <w:tcBorders>
              <w:top w:val="nil"/>
              <w:left w:val="nil"/>
              <w:bottom w:val="nil"/>
              <w:right w:val="single" w:sz="4" w:space="0" w:color="auto"/>
            </w:tcBorders>
            <w:shd w:val="clear" w:color="auto" w:fill="auto"/>
            <w:noWrap/>
            <w:vAlign w:val="center"/>
            <w:hideMark/>
          </w:tcPr>
          <w:p w14:paraId="2BC9FF6D"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50 (53.8)</w:t>
            </w:r>
          </w:p>
        </w:tc>
        <w:tc>
          <w:tcPr>
            <w:tcW w:w="720" w:type="dxa"/>
            <w:tcBorders>
              <w:top w:val="nil"/>
              <w:left w:val="nil"/>
              <w:bottom w:val="nil"/>
              <w:right w:val="single" w:sz="4" w:space="0" w:color="auto"/>
            </w:tcBorders>
          </w:tcPr>
          <w:p w14:paraId="7F58CFD0" w14:textId="77777777" w:rsidR="002C403D" w:rsidRPr="00FF7989" w:rsidRDefault="002C403D" w:rsidP="001C4A0B">
            <w:pPr>
              <w:spacing w:before="100" w:beforeAutospacing="1" w:after="100" w:afterAutospacing="1"/>
              <w:jc w:val="center"/>
              <w:rPr>
                <w:rFonts w:ascii="Calibri" w:hAnsi="Calibri" w:cs="Calibri"/>
                <w:b/>
                <w:bCs/>
                <w:color w:val="000000"/>
                <w:sz w:val="18"/>
                <w:szCs w:val="18"/>
              </w:rPr>
            </w:pPr>
            <w:r w:rsidRPr="00FF7989">
              <w:rPr>
                <w:rFonts w:ascii="Calibri" w:hAnsi="Calibri" w:cs="Calibri"/>
                <w:b/>
                <w:bCs/>
                <w:color w:val="000000"/>
                <w:sz w:val="18"/>
                <w:szCs w:val="18"/>
              </w:rPr>
              <w:t>0.00</w:t>
            </w:r>
            <w:r>
              <w:rPr>
                <w:rFonts w:ascii="Calibri" w:hAnsi="Calibri" w:cs="Calibri"/>
                <w:b/>
                <w:bCs/>
                <w:color w:val="000000"/>
                <w:sz w:val="18"/>
                <w:szCs w:val="18"/>
              </w:rPr>
              <w:t>1</w:t>
            </w:r>
          </w:p>
        </w:tc>
      </w:tr>
      <w:tr w:rsidR="002C403D" w:rsidRPr="0020667B" w14:paraId="50B20915" w14:textId="77777777" w:rsidTr="002150E9">
        <w:trPr>
          <w:trHeight w:val="255"/>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14:paraId="03DDFCB8" w14:textId="77777777" w:rsidR="002C403D" w:rsidRPr="0020667B" w:rsidRDefault="002C403D" w:rsidP="001C4A0B">
            <w:pPr>
              <w:spacing w:before="100" w:beforeAutospacing="1" w:after="100" w:afterAutospacing="1"/>
              <w:rPr>
                <w:rFonts w:ascii="Calibri" w:hAnsi="Calibri" w:cs="Calibri"/>
                <w:b/>
                <w:bCs/>
                <w:color w:val="000000"/>
                <w:sz w:val="18"/>
                <w:szCs w:val="18"/>
              </w:rPr>
            </w:pPr>
            <w:r w:rsidRPr="0020667B">
              <w:rPr>
                <w:rFonts w:ascii="Calibri" w:hAnsi="Calibri" w:cs="Calibri"/>
                <w:b/>
                <w:bCs/>
                <w:color w:val="000000"/>
                <w:sz w:val="18"/>
                <w:szCs w:val="18"/>
              </w:rPr>
              <w:t>Substance use and overdose</w:t>
            </w:r>
          </w:p>
        </w:tc>
        <w:tc>
          <w:tcPr>
            <w:tcW w:w="0" w:type="auto"/>
            <w:tcBorders>
              <w:top w:val="single" w:sz="8" w:space="0" w:color="auto"/>
              <w:left w:val="nil"/>
              <w:bottom w:val="single" w:sz="8" w:space="0" w:color="auto"/>
              <w:right w:val="nil"/>
            </w:tcBorders>
            <w:shd w:val="clear" w:color="auto" w:fill="auto"/>
            <w:noWrap/>
            <w:vAlign w:val="bottom"/>
            <w:hideMark/>
          </w:tcPr>
          <w:p w14:paraId="7634C08F"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 </w:t>
            </w:r>
          </w:p>
        </w:tc>
        <w:tc>
          <w:tcPr>
            <w:tcW w:w="0" w:type="auto"/>
            <w:tcBorders>
              <w:top w:val="single" w:sz="8" w:space="0" w:color="auto"/>
              <w:left w:val="nil"/>
              <w:bottom w:val="single" w:sz="8" w:space="0" w:color="auto"/>
              <w:right w:val="nil"/>
            </w:tcBorders>
            <w:shd w:val="clear" w:color="auto" w:fill="auto"/>
            <w:noWrap/>
            <w:vAlign w:val="bottom"/>
            <w:hideMark/>
          </w:tcPr>
          <w:p w14:paraId="60CC241C"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 </w:t>
            </w:r>
          </w:p>
        </w:tc>
        <w:tc>
          <w:tcPr>
            <w:tcW w:w="1474" w:type="dxa"/>
            <w:tcBorders>
              <w:top w:val="single" w:sz="8" w:space="0" w:color="auto"/>
              <w:left w:val="nil"/>
              <w:bottom w:val="single" w:sz="8" w:space="0" w:color="auto"/>
              <w:right w:val="single" w:sz="4" w:space="0" w:color="auto"/>
            </w:tcBorders>
            <w:shd w:val="clear" w:color="auto" w:fill="auto"/>
            <w:noWrap/>
            <w:vAlign w:val="bottom"/>
            <w:hideMark/>
          </w:tcPr>
          <w:p w14:paraId="1292313F"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 </w:t>
            </w:r>
          </w:p>
        </w:tc>
        <w:tc>
          <w:tcPr>
            <w:tcW w:w="720" w:type="dxa"/>
            <w:tcBorders>
              <w:top w:val="single" w:sz="8" w:space="0" w:color="auto"/>
              <w:left w:val="nil"/>
              <w:bottom w:val="single" w:sz="8" w:space="0" w:color="auto"/>
              <w:right w:val="single" w:sz="4" w:space="0" w:color="auto"/>
            </w:tcBorders>
          </w:tcPr>
          <w:p w14:paraId="0D780705"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p>
        </w:tc>
      </w:tr>
      <w:tr w:rsidR="002C403D" w:rsidRPr="0020667B" w14:paraId="4877C3AF" w14:textId="77777777" w:rsidTr="002150E9">
        <w:trPr>
          <w:trHeight w:val="240"/>
        </w:trPr>
        <w:tc>
          <w:tcPr>
            <w:tcW w:w="0" w:type="auto"/>
            <w:tcBorders>
              <w:top w:val="nil"/>
              <w:left w:val="single" w:sz="8" w:space="0" w:color="auto"/>
              <w:bottom w:val="nil"/>
              <w:right w:val="nil"/>
            </w:tcBorders>
            <w:shd w:val="clear" w:color="auto" w:fill="auto"/>
            <w:noWrap/>
            <w:vAlign w:val="center"/>
            <w:hideMark/>
          </w:tcPr>
          <w:p w14:paraId="5913424B" w14:textId="77777777" w:rsidR="002C403D" w:rsidRPr="0020667B" w:rsidRDefault="002C403D" w:rsidP="001C4A0B">
            <w:pPr>
              <w:spacing w:before="100" w:beforeAutospacing="1" w:after="100" w:afterAutospacing="1"/>
              <w:rPr>
                <w:rFonts w:ascii="Calibri" w:hAnsi="Calibri" w:cs="Calibri"/>
                <w:color w:val="000000"/>
                <w:sz w:val="18"/>
                <w:szCs w:val="18"/>
              </w:rPr>
            </w:pPr>
            <w:r w:rsidRPr="0020667B">
              <w:rPr>
                <w:rFonts w:ascii="Calibri" w:hAnsi="Calibri" w:cs="Calibri"/>
                <w:color w:val="000000"/>
                <w:sz w:val="18"/>
                <w:szCs w:val="18"/>
              </w:rPr>
              <w:t>Daily cocaine use, past 3 months</w:t>
            </w:r>
          </w:p>
        </w:tc>
        <w:tc>
          <w:tcPr>
            <w:tcW w:w="0" w:type="auto"/>
            <w:tcBorders>
              <w:top w:val="nil"/>
              <w:left w:val="nil"/>
              <w:bottom w:val="nil"/>
              <w:right w:val="nil"/>
            </w:tcBorders>
            <w:shd w:val="clear" w:color="auto" w:fill="auto"/>
            <w:noWrap/>
            <w:vAlign w:val="center"/>
            <w:hideMark/>
          </w:tcPr>
          <w:p w14:paraId="52E32504"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88 (21.1)</w:t>
            </w:r>
          </w:p>
        </w:tc>
        <w:tc>
          <w:tcPr>
            <w:tcW w:w="0" w:type="auto"/>
            <w:tcBorders>
              <w:top w:val="nil"/>
              <w:left w:val="nil"/>
              <w:bottom w:val="nil"/>
              <w:right w:val="nil"/>
            </w:tcBorders>
            <w:shd w:val="clear" w:color="auto" w:fill="auto"/>
            <w:noWrap/>
            <w:vAlign w:val="center"/>
            <w:hideMark/>
          </w:tcPr>
          <w:p w14:paraId="6F0FE843"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51 (15.7)</w:t>
            </w:r>
          </w:p>
        </w:tc>
        <w:tc>
          <w:tcPr>
            <w:tcW w:w="1474" w:type="dxa"/>
            <w:tcBorders>
              <w:top w:val="nil"/>
              <w:left w:val="nil"/>
              <w:bottom w:val="nil"/>
              <w:right w:val="single" w:sz="4" w:space="0" w:color="auto"/>
            </w:tcBorders>
            <w:shd w:val="clear" w:color="auto" w:fill="auto"/>
            <w:noWrap/>
            <w:vAlign w:val="center"/>
            <w:hideMark/>
          </w:tcPr>
          <w:p w14:paraId="504E3C10"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37 (39.8)</w:t>
            </w:r>
          </w:p>
        </w:tc>
        <w:tc>
          <w:tcPr>
            <w:tcW w:w="720" w:type="dxa"/>
            <w:tcBorders>
              <w:top w:val="nil"/>
              <w:left w:val="nil"/>
              <w:bottom w:val="nil"/>
              <w:right w:val="single" w:sz="4" w:space="0" w:color="auto"/>
            </w:tcBorders>
          </w:tcPr>
          <w:p w14:paraId="6463170A" w14:textId="77777777" w:rsidR="002C403D" w:rsidRPr="00FF7989" w:rsidRDefault="002C403D" w:rsidP="001C4A0B">
            <w:pPr>
              <w:spacing w:before="100" w:beforeAutospacing="1" w:after="100" w:afterAutospacing="1"/>
              <w:jc w:val="center"/>
              <w:rPr>
                <w:rFonts w:ascii="Calibri" w:hAnsi="Calibri" w:cs="Calibri"/>
                <w:b/>
                <w:bCs/>
                <w:color w:val="000000"/>
                <w:sz w:val="18"/>
                <w:szCs w:val="18"/>
              </w:rPr>
            </w:pPr>
            <w:r w:rsidRPr="00FF7989">
              <w:rPr>
                <w:rFonts w:ascii="Calibri" w:hAnsi="Calibri" w:cs="Calibri"/>
                <w:b/>
                <w:bCs/>
                <w:color w:val="000000"/>
                <w:sz w:val="18"/>
                <w:szCs w:val="18"/>
              </w:rPr>
              <w:t>0.000</w:t>
            </w:r>
          </w:p>
        </w:tc>
      </w:tr>
      <w:tr w:rsidR="002C403D" w:rsidRPr="0020667B" w14:paraId="4A77576B" w14:textId="77777777" w:rsidTr="002150E9">
        <w:trPr>
          <w:trHeight w:val="240"/>
        </w:trPr>
        <w:tc>
          <w:tcPr>
            <w:tcW w:w="0" w:type="auto"/>
            <w:tcBorders>
              <w:top w:val="nil"/>
              <w:left w:val="single" w:sz="8" w:space="0" w:color="auto"/>
              <w:bottom w:val="nil"/>
              <w:right w:val="nil"/>
            </w:tcBorders>
            <w:shd w:val="clear" w:color="auto" w:fill="auto"/>
            <w:noWrap/>
            <w:vAlign w:val="center"/>
            <w:hideMark/>
          </w:tcPr>
          <w:p w14:paraId="359ADD60" w14:textId="77777777" w:rsidR="002C403D" w:rsidRPr="0020667B" w:rsidRDefault="002C403D" w:rsidP="001C4A0B">
            <w:pPr>
              <w:spacing w:before="100" w:beforeAutospacing="1" w:after="100" w:afterAutospacing="1"/>
              <w:rPr>
                <w:rFonts w:ascii="Calibri" w:hAnsi="Calibri" w:cs="Calibri"/>
                <w:color w:val="000000"/>
                <w:sz w:val="18"/>
                <w:szCs w:val="18"/>
              </w:rPr>
            </w:pPr>
            <w:r w:rsidRPr="0020667B">
              <w:rPr>
                <w:rFonts w:ascii="Calibri" w:hAnsi="Calibri" w:cs="Calibri"/>
                <w:color w:val="000000"/>
                <w:sz w:val="18"/>
                <w:szCs w:val="18"/>
              </w:rPr>
              <w:t>Daily crack use, past 3 months</w:t>
            </w:r>
          </w:p>
        </w:tc>
        <w:tc>
          <w:tcPr>
            <w:tcW w:w="0" w:type="auto"/>
            <w:tcBorders>
              <w:top w:val="nil"/>
              <w:left w:val="nil"/>
              <w:bottom w:val="nil"/>
              <w:right w:val="nil"/>
            </w:tcBorders>
            <w:shd w:val="clear" w:color="auto" w:fill="auto"/>
            <w:noWrap/>
            <w:vAlign w:val="center"/>
            <w:hideMark/>
          </w:tcPr>
          <w:p w14:paraId="112B8CAF"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177 (42.5)</w:t>
            </w:r>
          </w:p>
        </w:tc>
        <w:tc>
          <w:tcPr>
            <w:tcW w:w="0" w:type="auto"/>
            <w:tcBorders>
              <w:top w:val="nil"/>
              <w:left w:val="nil"/>
              <w:bottom w:val="nil"/>
              <w:right w:val="nil"/>
            </w:tcBorders>
            <w:shd w:val="clear" w:color="auto" w:fill="auto"/>
            <w:noWrap/>
            <w:vAlign w:val="center"/>
            <w:hideMark/>
          </w:tcPr>
          <w:p w14:paraId="4EC0E320"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125 (38.6)</w:t>
            </w:r>
          </w:p>
        </w:tc>
        <w:tc>
          <w:tcPr>
            <w:tcW w:w="1474" w:type="dxa"/>
            <w:tcBorders>
              <w:top w:val="nil"/>
              <w:left w:val="nil"/>
              <w:bottom w:val="nil"/>
              <w:right w:val="single" w:sz="4" w:space="0" w:color="auto"/>
            </w:tcBorders>
            <w:shd w:val="clear" w:color="auto" w:fill="auto"/>
            <w:noWrap/>
            <w:vAlign w:val="center"/>
            <w:hideMark/>
          </w:tcPr>
          <w:p w14:paraId="58D61C63"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52 (55.9)</w:t>
            </w:r>
          </w:p>
        </w:tc>
        <w:tc>
          <w:tcPr>
            <w:tcW w:w="720" w:type="dxa"/>
            <w:tcBorders>
              <w:top w:val="nil"/>
              <w:left w:val="nil"/>
              <w:bottom w:val="nil"/>
              <w:right w:val="single" w:sz="4" w:space="0" w:color="auto"/>
            </w:tcBorders>
          </w:tcPr>
          <w:p w14:paraId="290BF309" w14:textId="77777777" w:rsidR="002C403D" w:rsidRPr="00FF7989" w:rsidRDefault="002C403D" w:rsidP="001C4A0B">
            <w:pPr>
              <w:spacing w:before="100" w:beforeAutospacing="1" w:after="100" w:afterAutospacing="1"/>
              <w:jc w:val="center"/>
              <w:rPr>
                <w:rFonts w:ascii="Calibri" w:hAnsi="Calibri" w:cs="Calibri"/>
                <w:b/>
                <w:bCs/>
                <w:color w:val="000000"/>
                <w:sz w:val="18"/>
                <w:szCs w:val="18"/>
              </w:rPr>
            </w:pPr>
            <w:r w:rsidRPr="00FF7989">
              <w:rPr>
                <w:rFonts w:ascii="Calibri" w:hAnsi="Calibri" w:cs="Calibri"/>
                <w:b/>
                <w:bCs/>
                <w:color w:val="000000"/>
                <w:sz w:val="18"/>
                <w:szCs w:val="18"/>
              </w:rPr>
              <w:t>0.003</w:t>
            </w:r>
          </w:p>
        </w:tc>
      </w:tr>
      <w:tr w:rsidR="002C403D" w:rsidRPr="0020667B" w14:paraId="2AB92D8B" w14:textId="77777777" w:rsidTr="002150E9">
        <w:trPr>
          <w:trHeight w:val="240"/>
        </w:trPr>
        <w:tc>
          <w:tcPr>
            <w:tcW w:w="0" w:type="auto"/>
            <w:tcBorders>
              <w:top w:val="nil"/>
              <w:left w:val="single" w:sz="8" w:space="0" w:color="auto"/>
              <w:bottom w:val="nil"/>
              <w:right w:val="nil"/>
            </w:tcBorders>
            <w:shd w:val="clear" w:color="auto" w:fill="auto"/>
            <w:noWrap/>
            <w:vAlign w:val="center"/>
            <w:hideMark/>
          </w:tcPr>
          <w:p w14:paraId="5F6171B8" w14:textId="77777777" w:rsidR="002C403D" w:rsidRPr="0020667B" w:rsidRDefault="002C403D" w:rsidP="001C4A0B">
            <w:pPr>
              <w:spacing w:before="100" w:beforeAutospacing="1" w:after="100" w:afterAutospacing="1"/>
              <w:rPr>
                <w:rFonts w:ascii="Calibri" w:hAnsi="Calibri" w:cs="Calibri"/>
                <w:color w:val="000000"/>
                <w:sz w:val="18"/>
                <w:szCs w:val="18"/>
              </w:rPr>
            </w:pPr>
            <w:r w:rsidRPr="0020667B">
              <w:rPr>
                <w:rFonts w:ascii="Calibri" w:hAnsi="Calibri" w:cs="Calibri"/>
                <w:color w:val="000000"/>
                <w:sz w:val="18"/>
                <w:szCs w:val="18"/>
              </w:rPr>
              <w:t>Daily synthetic cannabinoid use, past 3 months</w:t>
            </w:r>
          </w:p>
        </w:tc>
        <w:tc>
          <w:tcPr>
            <w:tcW w:w="0" w:type="auto"/>
            <w:tcBorders>
              <w:top w:val="nil"/>
              <w:left w:val="nil"/>
              <w:bottom w:val="nil"/>
              <w:right w:val="nil"/>
            </w:tcBorders>
            <w:shd w:val="clear" w:color="auto" w:fill="auto"/>
            <w:noWrap/>
            <w:vAlign w:val="center"/>
            <w:hideMark/>
          </w:tcPr>
          <w:p w14:paraId="3854957B"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38 (9.1)</w:t>
            </w:r>
          </w:p>
        </w:tc>
        <w:tc>
          <w:tcPr>
            <w:tcW w:w="0" w:type="auto"/>
            <w:tcBorders>
              <w:top w:val="nil"/>
              <w:left w:val="nil"/>
              <w:bottom w:val="nil"/>
              <w:right w:val="nil"/>
            </w:tcBorders>
            <w:shd w:val="clear" w:color="auto" w:fill="auto"/>
            <w:noWrap/>
            <w:vAlign w:val="center"/>
            <w:hideMark/>
          </w:tcPr>
          <w:p w14:paraId="1FF77045"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21 (6.5)</w:t>
            </w:r>
          </w:p>
        </w:tc>
        <w:tc>
          <w:tcPr>
            <w:tcW w:w="1474" w:type="dxa"/>
            <w:tcBorders>
              <w:top w:val="nil"/>
              <w:left w:val="nil"/>
              <w:bottom w:val="nil"/>
              <w:right w:val="single" w:sz="4" w:space="0" w:color="auto"/>
            </w:tcBorders>
            <w:shd w:val="clear" w:color="auto" w:fill="auto"/>
            <w:noWrap/>
            <w:vAlign w:val="center"/>
            <w:hideMark/>
          </w:tcPr>
          <w:p w14:paraId="729ABFB6"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17 (18.3)</w:t>
            </w:r>
          </w:p>
        </w:tc>
        <w:tc>
          <w:tcPr>
            <w:tcW w:w="720" w:type="dxa"/>
            <w:tcBorders>
              <w:top w:val="nil"/>
              <w:left w:val="nil"/>
              <w:bottom w:val="nil"/>
              <w:right w:val="single" w:sz="4" w:space="0" w:color="auto"/>
            </w:tcBorders>
          </w:tcPr>
          <w:p w14:paraId="35B98F3F" w14:textId="77777777" w:rsidR="002C403D" w:rsidRPr="00FF7989" w:rsidRDefault="002C403D" w:rsidP="001C4A0B">
            <w:pPr>
              <w:spacing w:before="100" w:beforeAutospacing="1" w:after="100" w:afterAutospacing="1"/>
              <w:jc w:val="center"/>
              <w:rPr>
                <w:rFonts w:ascii="Calibri" w:hAnsi="Calibri" w:cs="Calibri"/>
                <w:b/>
                <w:bCs/>
                <w:color w:val="000000"/>
                <w:sz w:val="18"/>
                <w:szCs w:val="18"/>
              </w:rPr>
            </w:pPr>
            <w:r w:rsidRPr="00FF7989">
              <w:rPr>
                <w:rFonts w:ascii="Calibri" w:hAnsi="Calibri" w:cs="Calibri"/>
                <w:b/>
                <w:bCs/>
                <w:color w:val="000000"/>
                <w:sz w:val="18"/>
                <w:szCs w:val="18"/>
              </w:rPr>
              <w:t>0.00</w:t>
            </w:r>
            <w:r>
              <w:rPr>
                <w:rFonts w:ascii="Calibri" w:hAnsi="Calibri" w:cs="Calibri"/>
                <w:b/>
                <w:bCs/>
                <w:color w:val="000000"/>
                <w:sz w:val="18"/>
                <w:szCs w:val="18"/>
              </w:rPr>
              <w:t>0</w:t>
            </w:r>
          </w:p>
        </w:tc>
      </w:tr>
      <w:tr w:rsidR="002C403D" w:rsidRPr="0020667B" w14:paraId="4A310E32" w14:textId="77777777" w:rsidTr="002150E9">
        <w:trPr>
          <w:trHeight w:val="240"/>
        </w:trPr>
        <w:tc>
          <w:tcPr>
            <w:tcW w:w="0" w:type="auto"/>
            <w:tcBorders>
              <w:top w:val="nil"/>
              <w:left w:val="single" w:sz="8" w:space="0" w:color="auto"/>
              <w:bottom w:val="nil"/>
              <w:right w:val="nil"/>
            </w:tcBorders>
            <w:shd w:val="clear" w:color="auto" w:fill="auto"/>
            <w:noWrap/>
            <w:vAlign w:val="center"/>
            <w:hideMark/>
          </w:tcPr>
          <w:p w14:paraId="1D14F62E" w14:textId="77777777" w:rsidR="002C403D" w:rsidRPr="0020667B" w:rsidRDefault="002C403D" w:rsidP="001C4A0B">
            <w:pPr>
              <w:spacing w:before="100" w:beforeAutospacing="1" w:after="100" w:afterAutospacing="1"/>
              <w:rPr>
                <w:rFonts w:ascii="Calibri" w:hAnsi="Calibri" w:cs="Calibri"/>
                <w:color w:val="000000"/>
                <w:sz w:val="18"/>
                <w:szCs w:val="18"/>
              </w:rPr>
            </w:pPr>
            <w:r w:rsidRPr="0020667B">
              <w:rPr>
                <w:rFonts w:ascii="Calibri" w:hAnsi="Calibri" w:cs="Calibri"/>
                <w:color w:val="000000"/>
                <w:sz w:val="18"/>
                <w:szCs w:val="18"/>
              </w:rPr>
              <w:t>Drinks alcohol 4+ times per week, past 3 months</w:t>
            </w:r>
          </w:p>
        </w:tc>
        <w:tc>
          <w:tcPr>
            <w:tcW w:w="0" w:type="auto"/>
            <w:tcBorders>
              <w:top w:val="nil"/>
              <w:left w:val="nil"/>
              <w:bottom w:val="nil"/>
              <w:right w:val="nil"/>
            </w:tcBorders>
            <w:shd w:val="clear" w:color="auto" w:fill="auto"/>
            <w:noWrap/>
            <w:vAlign w:val="center"/>
            <w:hideMark/>
          </w:tcPr>
          <w:p w14:paraId="4834FD88"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113 (27.2)</w:t>
            </w:r>
          </w:p>
        </w:tc>
        <w:tc>
          <w:tcPr>
            <w:tcW w:w="0" w:type="auto"/>
            <w:tcBorders>
              <w:top w:val="nil"/>
              <w:left w:val="nil"/>
              <w:bottom w:val="nil"/>
              <w:right w:val="nil"/>
            </w:tcBorders>
            <w:shd w:val="clear" w:color="auto" w:fill="auto"/>
            <w:noWrap/>
            <w:vAlign w:val="center"/>
            <w:hideMark/>
          </w:tcPr>
          <w:p w14:paraId="33EF1470"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86 (26.6)</w:t>
            </w:r>
          </w:p>
        </w:tc>
        <w:tc>
          <w:tcPr>
            <w:tcW w:w="1474" w:type="dxa"/>
            <w:tcBorders>
              <w:top w:val="nil"/>
              <w:left w:val="nil"/>
              <w:bottom w:val="nil"/>
              <w:right w:val="single" w:sz="4" w:space="0" w:color="auto"/>
            </w:tcBorders>
            <w:shd w:val="clear" w:color="auto" w:fill="auto"/>
            <w:noWrap/>
            <w:vAlign w:val="center"/>
            <w:hideMark/>
          </w:tcPr>
          <w:p w14:paraId="75EFD1D8"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27 (29.0)</w:t>
            </w:r>
          </w:p>
        </w:tc>
        <w:tc>
          <w:tcPr>
            <w:tcW w:w="720" w:type="dxa"/>
            <w:tcBorders>
              <w:top w:val="nil"/>
              <w:left w:val="nil"/>
              <w:bottom w:val="nil"/>
              <w:right w:val="single" w:sz="4" w:space="0" w:color="auto"/>
            </w:tcBorders>
          </w:tcPr>
          <w:p w14:paraId="0C523E6A"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Pr>
                <w:rFonts w:ascii="Calibri" w:hAnsi="Calibri" w:cs="Calibri"/>
                <w:color w:val="000000"/>
                <w:sz w:val="18"/>
                <w:szCs w:val="18"/>
              </w:rPr>
              <w:t>0.646</w:t>
            </w:r>
          </w:p>
        </w:tc>
      </w:tr>
      <w:tr w:rsidR="002C403D" w:rsidRPr="0020667B" w14:paraId="345D6770" w14:textId="77777777" w:rsidTr="002150E9">
        <w:trPr>
          <w:trHeight w:val="240"/>
        </w:trPr>
        <w:tc>
          <w:tcPr>
            <w:tcW w:w="0" w:type="auto"/>
            <w:tcBorders>
              <w:top w:val="nil"/>
              <w:left w:val="single" w:sz="8" w:space="0" w:color="auto"/>
              <w:right w:val="nil"/>
            </w:tcBorders>
            <w:shd w:val="clear" w:color="auto" w:fill="auto"/>
            <w:noWrap/>
            <w:vAlign w:val="center"/>
            <w:hideMark/>
          </w:tcPr>
          <w:p w14:paraId="56FA7C03" w14:textId="77777777" w:rsidR="002C403D" w:rsidRPr="0020667B" w:rsidRDefault="002C403D" w:rsidP="001C4A0B">
            <w:pPr>
              <w:spacing w:before="100" w:beforeAutospacing="1" w:after="100" w:afterAutospacing="1"/>
              <w:rPr>
                <w:rFonts w:ascii="Calibri" w:hAnsi="Calibri" w:cs="Calibri"/>
                <w:color w:val="000000"/>
                <w:sz w:val="18"/>
                <w:szCs w:val="18"/>
              </w:rPr>
            </w:pPr>
            <w:r w:rsidRPr="0020667B">
              <w:rPr>
                <w:rFonts w:ascii="Calibri" w:hAnsi="Calibri" w:cs="Calibri"/>
                <w:color w:val="000000"/>
                <w:sz w:val="18"/>
                <w:szCs w:val="18"/>
              </w:rPr>
              <w:t>Any injection drug use, past 3 months</w:t>
            </w:r>
          </w:p>
        </w:tc>
        <w:tc>
          <w:tcPr>
            <w:tcW w:w="0" w:type="auto"/>
            <w:tcBorders>
              <w:top w:val="nil"/>
              <w:left w:val="nil"/>
              <w:right w:val="nil"/>
            </w:tcBorders>
            <w:shd w:val="clear" w:color="auto" w:fill="auto"/>
            <w:noWrap/>
            <w:vAlign w:val="center"/>
            <w:hideMark/>
          </w:tcPr>
          <w:p w14:paraId="627475D9"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144 (34.5)</w:t>
            </w:r>
          </w:p>
        </w:tc>
        <w:tc>
          <w:tcPr>
            <w:tcW w:w="0" w:type="auto"/>
            <w:tcBorders>
              <w:top w:val="nil"/>
              <w:left w:val="nil"/>
              <w:right w:val="nil"/>
            </w:tcBorders>
            <w:shd w:val="clear" w:color="auto" w:fill="auto"/>
            <w:noWrap/>
            <w:vAlign w:val="center"/>
            <w:hideMark/>
          </w:tcPr>
          <w:p w14:paraId="28DA0237"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102 (31.5)</w:t>
            </w:r>
          </w:p>
        </w:tc>
        <w:tc>
          <w:tcPr>
            <w:tcW w:w="1474" w:type="dxa"/>
            <w:tcBorders>
              <w:top w:val="nil"/>
              <w:left w:val="nil"/>
              <w:right w:val="single" w:sz="4" w:space="0" w:color="auto"/>
            </w:tcBorders>
            <w:shd w:val="clear" w:color="auto" w:fill="auto"/>
            <w:noWrap/>
            <w:vAlign w:val="center"/>
            <w:hideMark/>
          </w:tcPr>
          <w:p w14:paraId="4E93BF89"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42 (45.2)</w:t>
            </w:r>
          </w:p>
        </w:tc>
        <w:tc>
          <w:tcPr>
            <w:tcW w:w="720" w:type="dxa"/>
            <w:tcBorders>
              <w:top w:val="nil"/>
              <w:left w:val="nil"/>
              <w:right w:val="single" w:sz="4" w:space="0" w:color="auto"/>
            </w:tcBorders>
          </w:tcPr>
          <w:p w14:paraId="1527D685" w14:textId="77777777" w:rsidR="002C403D" w:rsidRPr="00FF7989" w:rsidRDefault="002C403D" w:rsidP="001C4A0B">
            <w:pPr>
              <w:spacing w:before="100" w:beforeAutospacing="1" w:after="100" w:afterAutospacing="1"/>
              <w:jc w:val="center"/>
              <w:rPr>
                <w:rFonts w:ascii="Calibri" w:hAnsi="Calibri" w:cs="Calibri"/>
                <w:b/>
                <w:bCs/>
                <w:color w:val="000000"/>
                <w:sz w:val="18"/>
                <w:szCs w:val="18"/>
              </w:rPr>
            </w:pPr>
            <w:r w:rsidRPr="00FF7989">
              <w:rPr>
                <w:rFonts w:ascii="Calibri" w:hAnsi="Calibri" w:cs="Calibri"/>
                <w:b/>
                <w:bCs/>
                <w:color w:val="000000"/>
                <w:sz w:val="18"/>
                <w:szCs w:val="18"/>
              </w:rPr>
              <w:t>0.01</w:t>
            </w:r>
            <w:r>
              <w:rPr>
                <w:rFonts w:ascii="Calibri" w:hAnsi="Calibri" w:cs="Calibri"/>
                <w:b/>
                <w:bCs/>
                <w:color w:val="000000"/>
                <w:sz w:val="18"/>
                <w:szCs w:val="18"/>
              </w:rPr>
              <w:t>4</w:t>
            </w:r>
          </w:p>
        </w:tc>
      </w:tr>
      <w:tr w:rsidR="002C403D" w:rsidRPr="0020667B" w14:paraId="3CCE331A" w14:textId="77777777" w:rsidTr="002150E9">
        <w:trPr>
          <w:trHeight w:val="240"/>
        </w:trPr>
        <w:tc>
          <w:tcPr>
            <w:tcW w:w="0" w:type="auto"/>
            <w:tcBorders>
              <w:top w:val="nil"/>
              <w:left w:val="single" w:sz="8" w:space="0" w:color="auto"/>
              <w:bottom w:val="single" w:sz="8" w:space="0" w:color="auto"/>
              <w:right w:val="nil"/>
            </w:tcBorders>
            <w:shd w:val="clear" w:color="auto" w:fill="auto"/>
            <w:noWrap/>
            <w:vAlign w:val="center"/>
            <w:hideMark/>
          </w:tcPr>
          <w:p w14:paraId="7E55F339" w14:textId="77777777" w:rsidR="002C403D" w:rsidRPr="0020667B" w:rsidRDefault="002C403D" w:rsidP="001C4A0B">
            <w:pPr>
              <w:spacing w:before="100" w:beforeAutospacing="1" w:after="100" w:afterAutospacing="1"/>
              <w:rPr>
                <w:rFonts w:ascii="Calibri" w:hAnsi="Calibri" w:cs="Calibri"/>
                <w:color w:val="000000"/>
                <w:sz w:val="18"/>
                <w:szCs w:val="18"/>
              </w:rPr>
            </w:pPr>
            <w:r w:rsidRPr="0020667B">
              <w:rPr>
                <w:rFonts w:ascii="Calibri" w:hAnsi="Calibri" w:cs="Calibri"/>
                <w:color w:val="000000"/>
                <w:sz w:val="18"/>
                <w:szCs w:val="18"/>
              </w:rPr>
              <w:t>Overdose, past 3 months</w:t>
            </w:r>
          </w:p>
        </w:tc>
        <w:tc>
          <w:tcPr>
            <w:tcW w:w="0" w:type="auto"/>
            <w:tcBorders>
              <w:top w:val="nil"/>
              <w:left w:val="nil"/>
              <w:bottom w:val="single" w:sz="8" w:space="0" w:color="auto"/>
              <w:right w:val="nil"/>
            </w:tcBorders>
            <w:shd w:val="clear" w:color="auto" w:fill="auto"/>
            <w:noWrap/>
            <w:vAlign w:val="bottom"/>
            <w:hideMark/>
          </w:tcPr>
          <w:p w14:paraId="4260D31C"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68 (16.4)</w:t>
            </w:r>
          </w:p>
        </w:tc>
        <w:tc>
          <w:tcPr>
            <w:tcW w:w="0" w:type="auto"/>
            <w:tcBorders>
              <w:top w:val="nil"/>
              <w:left w:val="nil"/>
              <w:bottom w:val="single" w:sz="8" w:space="0" w:color="auto"/>
              <w:right w:val="nil"/>
            </w:tcBorders>
            <w:shd w:val="clear" w:color="auto" w:fill="auto"/>
            <w:noWrap/>
            <w:vAlign w:val="bottom"/>
            <w:hideMark/>
          </w:tcPr>
          <w:p w14:paraId="178FA753"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48 (14.9)</w:t>
            </w:r>
          </w:p>
        </w:tc>
        <w:tc>
          <w:tcPr>
            <w:tcW w:w="1474" w:type="dxa"/>
            <w:tcBorders>
              <w:top w:val="nil"/>
              <w:left w:val="nil"/>
              <w:bottom w:val="single" w:sz="8" w:space="0" w:color="auto"/>
              <w:right w:val="single" w:sz="4" w:space="0" w:color="auto"/>
            </w:tcBorders>
            <w:shd w:val="clear" w:color="auto" w:fill="auto"/>
            <w:noWrap/>
            <w:vAlign w:val="bottom"/>
            <w:hideMark/>
          </w:tcPr>
          <w:p w14:paraId="7D12DFEF"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sidRPr="0020667B">
              <w:rPr>
                <w:rFonts w:ascii="Calibri" w:hAnsi="Calibri" w:cs="Calibri"/>
                <w:color w:val="000000"/>
                <w:sz w:val="18"/>
                <w:szCs w:val="18"/>
              </w:rPr>
              <w:t>20 (21.5)</w:t>
            </w:r>
          </w:p>
        </w:tc>
        <w:tc>
          <w:tcPr>
            <w:tcW w:w="720" w:type="dxa"/>
            <w:tcBorders>
              <w:top w:val="nil"/>
              <w:left w:val="nil"/>
              <w:bottom w:val="single" w:sz="8" w:space="0" w:color="auto"/>
              <w:right w:val="single" w:sz="4" w:space="0" w:color="auto"/>
            </w:tcBorders>
          </w:tcPr>
          <w:p w14:paraId="5825CA49" w14:textId="77777777" w:rsidR="002C403D" w:rsidRPr="0020667B" w:rsidRDefault="002C403D" w:rsidP="001C4A0B">
            <w:pPr>
              <w:spacing w:before="100" w:beforeAutospacing="1" w:after="100" w:afterAutospacing="1"/>
              <w:jc w:val="center"/>
              <w:rPr>
                <w:rFonts w:ascii="Calibri" w:hAnsi="Calibri" w:cs="Calibri"/>
                <w:color w:val="000000"/>
                <w:sz w:val="18"/>
                <w:szCs w:val="18"/>
              </w:rPr>
            </w:pPr>
            <w:r>
              <w:rPr>
                <w:rFonts w:ascii="Calibri" w:hAnsi="Calibri" w:cs="Calibri"/>
                <w:color w:val="000000"/>
                <w:sz w:val="18"/>
                <w:szCs w:val="18"/>
              </w:rPr>
              <w:t>0.127</w:t>
            </w:r>
          </w:p>
        </w:tc>
      </w:tr>
    </w:tbl>
    <w:p w14:paraId="4AA5A070" w14:textId="77777777" w:rsidR="002C403D" w:rsidRDefault="002C403D" w:rsidP="002C403D">
      <w:pPr>
        <w:pStyle w:val="NormalWeb"/>
        <w:spacing w:before="0" w:beforeAutospacing="0" w:after="0" w:afterAutospacing="0"/>
        <w:textAlignment w:val="baseline"/>
        <w:rPr>
          <w:rFonts w:ascii="Arial" w:hAnsi="Arial" w:cs="Arial"/>
          <w:color w:val="000000" w:themeColor="text1"/>
          <w:sz w:val="16"/>
          <w:szCs w:val="16"/>
          <w:vertAlign w:val="superscript"/>
        </w:rPr>
      </w:pPr>
    </w:p>
    <w:p w14:paraId="4F08C2D3" w14:textId="74B18106" w:rsidR="002C403D" w:rsidRDefault="002C403D" w:rsidP="002C403D">
      <w:pPr>
        <w:pStyle w:val="NormalWeb"/>
        <w:spacing w:before="0" w:beforeAutospacing="0" w:after="0" w:afterAutospacing="0"/>
        <w:textAlignment w:val="baseline"/>
        <w:rPr>
          <w:rFonts w:ascii="Arial" w:hAnsi="Arial" w:cs="Arial"/>
          <w:color w:val="000000" w:themeColor="text1"/>
          <w:sz w:val="16"/>
          <w:szCs w:val="16"/>
        </w:rPr>
      </w:pPr>
      <w:proofErr w:type="spellStart"/>
      <w:r w:rsidRPr="003E037D">
        <w:rPr>
          <w:rFonts w:ascii="Arial" w:hAnsi="Arial" w:cs="Arial"/>
          <w:color w:val="000000" w:themeColor="text1"/>
          <w:sz w:val="16"/>
          <w:szCs w:val="16"/>
          <w:vertAlign w:val="superscript"/>
        </w:rPr>
        <w:t>a</w:t>
      </w:r>
      <w:r w:rsidR="00087E4B">
        <w:rPr>
          <w:rFonts w:ascii="Arial" w:hAnsi="Arial" w:cs="Arial"/>
          <w:color w:val="000000" w:themeColor="text1"/>
          <w:sz w:val="16"/>
          <w:szCs w:val="16"/>
        </w:rPr>
        <w:t>Pearson’s</w:t>
      </w:r>
      <w:proofErr w:type="spellEnd"/>
      <w:r w:rsidR="00087E4B">
        <w:rPr>
          <w:rFonts w:ascii="Arial" w:hAnsi="Arial" w:cs="Arial"/>
          <w:color w:val="000000" w:themeColor="text1"/>
          <w:sz w:val="16"/>
          <w:szCs w:val="16"/>
        </w:rPr>
        <w:t xml:space="preserve"> </w:t>
      </w:r>
      <w:r w:rsidR="00087E4B" w:rsidRPr="002150E9">
        <w:rPr>
          <w:rFonts w:ascii="Arial" w:hAnsi="Arial" w:cs="Arial"/>
          <w:i/>
          <w:iCs/>
          <w:color w:val="000000" w:themeColor="text1"/>
          <w:sz w:val="16"/>
          <w:szCs w:val="16"/>
        </w:rPr>
        <w:t>X</w:t>
      </w:r>
      <w:r w:rsidR="00087E4B" w:rsidRPr="002150E9">
        <w:rPr>
          <w:rFonts w:ascii="Arial" w:hAnsi="Arial" w:cs="Arial"/>
          <w:color w:val="000000" w:themeColor="text1"/>
          <w:sz w:val="16"/>
          <w:szCs w:val="16"/>
          <w:vertAlign w:val="superscript"/>
        </w:rPr>
        <w:t>2</w:t>
      </w:r>
      <w:r w:rsidRPr="003E037D">
        <w:rPr>
          <w:rFonts w:ascii="Arial" w:hAnsi="Arial" w:cs="Arial"/>
          <w:color w:val="000000" w:themeColor="text1"/>
          <w:sz w:val="16"/>
          <w:szCs w:val="16"/>
        </w:rPr>
        <w:t xml:space="preserve"> </w:t>
      </w:r>
      <w:r w:rsidR="00D106A9">
        <w:rPr>
          <w:rFonts w:ascii="Arial" w:hAnsi="Arial" w:cs="Arial"/>
          <w:color w:val="000000" w:themeColor="text1"/>
          <w:sz w:val="16"/>
          <w:szCs w:val="16"/>
        </w:rPr>
        <w:t>t</w:t>
      </w:r>
      <w:r w:rsidRPr="003E037D">
        <w:rPr>
          <w:rFonts w:ascii="Arial" w:hAnsi="Arial" w:cs="Arial"/>
          <w:color w:val="000000" w:themeColor="text1"/>
          <w:sz w:val="16"/>
          <w:szCs w:val="16"/>
        </w:rPr>
        <w:t>est</w:t>
      </w:r>
    </w:p>
    <w:p w14:paraId="4489C39A" w14:textId="7B7453C2" w:rsidR="00BB39FD" w:rsidRPr="00BB39FD" w:rsidRDefault="00BB39FD" w:rsidP="002C403D">
      <w:pPr>
        <w:pStyle w:val="NormalWeb"/>
        <w:spacing w:before="0" w:beforeAutospacing="0" w:after="0" w:afterAutospacing="0"/>
        <w:textAlignment w:val="baseline"/>
        <w:rPr>
          <w:rFonts w:ascii="Arial" w:hAnsi="Arial" w:cs="Arial"/>
          <w:color w:val="000000" w:themeColor="text1"/>
          <w:sz w:val="20"/>
          <w:szCs w:val="20"/>
        </w:rPr>
      </w:pPr>
      <w:proofErr w:type="spellStart"/>
      <w:r w:rsidRPr="002150E9">
        <w:rPr>
          <w:rFonts w:ascii="Arial" w:hAnsi="Arial" w:cs="Arial"/>
          <w:color w:val="000000" w:themeColor="text1"/>
          <w:sz w:val="16"/>
          <w:szCs w:val="16"/>
          <w:vertAlign w:val="superscript"/>
        </w:rPr>
        <w:t>b</w:t>
      </w:r>
      <w:r>
        <w:rPr>
          <w:rFonts w:ascii="Arial" w:hAnsi="Arial" w:cs="Arial"/>
          <w:color w:val="000000" w:themeColor="text1"/>
          <w:sz w:val="16"/>
          <w:szCs w:val="16"/>
        </w:rPr>
        <w:t>T</w:t>
      </w:r>
      <w:proofErr w:type="spellEnd"/>
      <w:r>
        <w:rPr>
          <w:rFonts w:ascii="Arial" w:hAnsi="Arial" w:cs="Arial"/>
          <w:color w:val="000000" w:themeColor="text1"/>
          <w:sz w:val="16"/>
          <w:szCs w:val="16"/>
        </w:rPr>
        <w:t xml:space="preserve">-test </w:t>
      </w:r>
    </w:p>
    <w:p w14:paraId="621352E7" w14:textId="77777777" w:rsidR="002C403D" w:rsidRDefault="002C403D" w:rsidP="002C403D">
      <w:pPr>
        <w:pStyle w:val="NormalWeb"/>
        <w:spacing w:before="0" w:beforeAutospacing="0" w:after="0" w:afterAutospacing="0"/>
        <w:textAlignment w:val="baseline"/>
        <w:rPr>
          <w:rFonts w:ascii="Arial" w:hAnsi="Arial" w:cs="Arial"/>
          <w:color w:val="000000" w:themeColor="text1"/>
          <w:sz w:val="20"/>
          <w:szCs w:val="20"/>
        </w:rPr>
      </w:pPr>
    </w:p>
    <w:p w14:paraId="1A604E6C" w14:textId="148CD12E" w:rsidR="002C403D" w:rsidRDefault="002C403D" w:rsidP="002C403D">
      <w:pPr>
        <w:pStyle w:val="NormalWeb"/>
        <w:spacing w:before="0" w:beforeAutospacing="0" w:after="0" w:afterAutospacing="0"/>
        <w:textAlignment w:val="baseline"/>
        <w:rPr>
          <w:rFonts w:ascii="Arial" w:hAnsi="Arial" w:cs="Arial"/>
          <w:color w:val="000000" w:themeColor="text1"/>
          <w:sz w:val="20"/>
          <w:szCs w:val="20"/>
        </w:rPr>
      </w:pPr>
    </w:p>
    <w:p w14:paraId="79417B25" w14:textId="601E2570" w:rsidR="002C403D" w:rsidRDefault="002C403D" w:rsidP="002C403D">
      <w:pPr>
        <w:pStyle w:val="NormalWeb"/>
        <w:spacing w:before="0" w:beforeAutospacing="0" w:after="0" w:afterAutospacing="0"/>
        <w:textAlignment w:val="baseline"/>
        <w:rPr>
          <w:rFonts w:ascii="Arial" w:hAnsi="Arial" w:cs="Arial"/>
          <w:color w:val="000000" w:themeColor="text1"/>
          <w:sz w:val="20"/>
          <w:szCs w:val="20"/>
        </w:rPr>
      </w:pPr>
    </w:p>
    <w:p w14:paraId="7F8F2235" w14:textId="31205A5E" w:rsidR="002C403D" w:rsidRDefault="002C403D" w:rsidP="002C403D">
      <w:pPr>
        <w:pStyle w:val="NormalWeb"/>
        <w:spacing w:before="0" w:beforeAutospacing="0" w:after="0" w:afterAutospacing="0"/>
        <w:textAlignment w:val="baseline"/>
        <w:rPr>
          <w:rFonts w:ascii="Arial" w:hAnsi="Arial" w:cs="Arial"/>
          <w:color w:val="000000" w:themeColor="text1"/>
          <w:sz w:val="20"/>
          <w:szCs w:val="20"/>
        </w:rPr>
      </w:pPr>
    </w:p>
    <w:p w14:paraId="41379F97" w14:textId="0DF23CB9" w:rsidR="002C403D" w:rsidRDefault="002C403D" w:rsidP="002C403D">
      <w:pPr>
        <w:pStyle w:val="NormalWeb"/>
        <w:spacing w:before="0" w:beforeAutospacing="0" w:after="0" w:afterAutospacing="0"/>
        <w:textAlignment w:val="baseline"/>
        <w:rPr>
          <w:rFonts w:ascii="Arial" w:hAnsi="Arial" w:cs="Arial"/>
          <w:color w:val="000000" w:themeColor="text1"/>
          <w:sz w:val="20"/>
          <w:szCs w:val="20"/>
        </w:rPr>
      </w:pPr>
    </w:p>
    <w:p w14:paraId="21104905" w14:textId="08CE070F" w:rsidR="002C403D" w:rsidRDefault="002C403D" w:rsidP="002C403D">
      <w:pPr>
        <w:pStyle w:val="NormalWeb"/>
        <w:spacing w:before="0" w:beforeAutospacing="0" w:after="0" w:afterAutospacing="0"/>
        <w:textAlignment w:val="baseline"/>
        <w:rPr>
          <w:rFonts w:ascii="Arial" w:hAnsi="Arial" w:cs="Arial"/>
          <w:color w:val="000000" w:themeColor="text1"/>
          <w:sz w:val="20"/>
          <w:szCs w:val="20"/>
        </w:rPr>
      </w:pPr>
    </w:p>
    <w:p w14:paraId="62F16D70" w14:textId="63005B38" w:rsidR="002C403D" w:rsidRDefault="002C403D" w:rsidP="002C403D">
      <w:pPr>
        <w:pStyle w:val="NormalWeb"/>
        <w:spacing w:before="0" w:beforeAutospacing="0" w:after="0" w:afterAutospacing="0"/>
        <w:textAlignment w:val="baseline"/>
        <w:rPr>
          <w:rFonts w:ascii="Arial" w:hAnsi="Arial" w:cs="Arial"/>
          <w:color w:val="000000" w:themeColor="text1"/>
          <w:sz w:val="20"/>
          <w:szCs w:val="20"/>
        </w:rPr>
      </w:pPr>
    </w:p>
    <w:p w14:paraId="1FB86503" w14:textId="0007ECA0" w:rsidR="002C403D" w:rsidRDefault="002C403D" w:rsidP="002C403D">
      <w:pPr>
        <w:pStyle w:val="NormalWeb"/>
        <w:spacing w:before="0" w:beforeAutospacing="0" w:after="0" w:afterAutospacing="0"/>
        <w:textAlignment w:val="baseline"/>
        <w:rPr>
          <w:rFonts w:ascii="Arial" w:hAnsi="Arial" w:cs="Arial"/>
          <w:color w:val="000000" w:themeColor="text1"/>
          <w:sz w:val="20"/>
          <w:szCs w:val="20"/>
        </w:rPr>
      </w:pPr>
    </w:p>
    <w:p w14:paraId="4B0D6302" w14:textId="5B9C15FF" w:rsidR="002C403D" w:rsidRDefault="002C403D" w:rsidP="002C403D">
      <w:pPr>
        <w:pStyle w:val="NormalWeb"/>
        <w:spacing w:before="0" w:beforeAutospacing="0" w:after="0" w:afterAutospacing="0"/>
        <w:textAlignment w:val="baseline"/>
        <w:rPr>
          <w:rFonts w:ascii="Arial" w:hAnsi="Arial" w:cs="Arial"/>
          <w:color w:val="000000" w:themeColor="text1"/>
          <w:sz w:val="20"/>
          <w:szCs w:val="20"/>
        </w:rPr>
      </w:pPr>
    </w:p>
    <w:p w14:paraId="0E04D00D" w14:textId="69AE323A" w:rsidR="002C403D" w:rsidRDefault="002C403D" w:rsidP="002C403D">
      <w:pPr>
        <w:pStyle w:val="NormalWeb"/>
        <w:spacing w:before="0" w:beforeAutospacing="0" w:after="0" w:afterAutospacing="0"/>
        <w:textAlignment w:val="baseline"/>
        <w:rPr>
          <w:rFonts w:ascii="Arial" w:hAnsi="Arial" w:cs="Arial"/>
          <w:color w:val="000000" w:themeColor="text1"/>
          <w:sz w:val="20"/>
          <w:szCs w:val="20"/>
        </w:rPr>
      </w:pPr>
    </w:p>
    <w:p w14:paraId="5AC9BB0D" w14:textId="0819D5B7" w:rsidR="002C403D" w:rsidRDefault="002C403D" w:rsidP="002C403D">
      <w:pPr>
        <w:pStyle w:val="NormalWeb"/>
        <w:spacing w:before="0" w:beforeAutospacing="0" w:after="0" w:afterAutospacing="0"/>
        <w:textAlignment w:val="baseline"/>
        <w:rPr>
          <w:rFonts w:ascii="Arial" w:hAnsi="Arial" w:cs="Arial"/>
          <w:color w:val="000000" w:themeColor="text1"/>
          <w:sz w:val="20"/>
          <w:szCs w:val="20"/>
        </w:rPr>
      </w:pPr>
    </w:p>
    <w:p w14:paraId="622887D9" w14:textId="61BDCDF2" w:rsidR="002C403D" w:rsidRDefault="002C403D" w:rsidP="002C403D">
      <w:pPr>
        <w:pStyle w:val="NormalWeb"/>
        <w:spacing w:before="0" w:beforeAutospacing="0" w:after="0" w:afterAutospacing="0"/>
        <w:textAlignment w:val="baseline"/>
        <w:rPr>
          <w:rFonts w:ascii="Arial" w:hAnsi="Arial" w:cs="Arial"/>
          <w:color w:val="000000" w:themeColor="text1"/>
          <w:sz w:val="20"/>
          <w:szCs w:val="20"/>
        </w:rPr>
      </w:pPr>
    </w:p>
    <w:p w14:paraId="499297E0" w14:textId="17D959D9" w:rsidR="009516FC" w:rsidRDefault="009516FC" w:rsidP="002C403D">
      <w:pPr>
        <w:pStyle w:val="NormalWeb"/>
        <w:spacing w:before="0" w:beforeAutospacing="0" w:after="0" w:afterAutospacing="0"/>
        <w:textAlignment w:val="baseline"/>
        <w:rPr>
          <w:rFonts w:ascii="Arial" w:hAnsi="Arial" w:cs="Arial"/>
          <w:color w:val="000000" w:themeColor="text1"/>
          <w:sz w:val="20"/>
          <w:szCs w:val="20"/>
        </w:rPr>
      </w:pPr>
    </w:p>
    <w:p w14:paraId="08589BC6" w14:textId="4A5CA869" w:rsidR="009516FC" w:rsidRDefault="009516FC" w:rsidP="002C403D">
      <w:pPr>
        <w:pStyle w:val="NormalWeb"/>
        <w:spacing w:before="0" w:beforeAutospacing="0" w:after="0" w:afterAutospacing="0"/>
        <w:textAlignment w:val="baseline"/>
        <w:rPr>
          <w:rFonts w:ascii="Arial" w:hAnsi="Arial" w:cs="Arial"/>
          <w:color w:val="000000" w:themeColor="text1"/>
          <w:sz w:val="20"/>
          <w:szCs w:val="20"/>
        </w:rPr>
      </w:pPr>
    </w:p>
    <w:p w14:paraId="7BAD4B4A" w14:textId="57E70674" w:rsidR="002C403D" w:rsidRDefault="002C403D" w:rsidP="002C403D">
      <w:pPr>
        <w:pStyle w:val="NormalWeb"/>
        <w:spacing w:before="0" w:beforeAutospacing="0" w:after="0" w:afterAutospacing="0"/>
        <w:textAlignment w:val="baseline"/>
        <w:rPr>
          <w:rFonts w:ascii="Arial" w:hAnsi="Arial" w:cs="Arial"/>
          <w:color w:val="000000" w:themeColor="text1"/>
          <w:sz w:val="20"/>
          <w:szCs w:val="20"/>
        </w:rPr>
      </w:pPr>
    </w:p>
    <w:p w14:paraId="422E4FB7" w14:textId="77777777" w:rsidR="002C403D" w:rsidRDefault="002C403D" w:rsidP="002C403D">
      <w:pPr>
        <w:pStyle w:val="NormalWeb"/>
        <w:spacing w:before="0" w:beforeAutospacing="0" w:after="0" w:afterAutospacing="0"/>
        <w:textAlignment w:val="baseline"/>
        <w:rPr>
          <w:rFonts w:ascii="Arial" w:hAnsi="Arial" w:cs="Arial"/>
          <w:color w:val="000000" w:themeColor="text1"/>
          <w:sz w:val="20"/>
          <w:szCs w:val="20"/>
        </w:rPr>
      </w:pPr>
      <w:r w:rsidRPr="003E037D">
        <w:rPr>
          <w:rFonts w:ascii="Arial" w:hAnsi="Arial" w:cs="Arial"/>
          <w:color w:val="000000" w:themeColor="text1"/>
          <w:sz w:val="20"/>
          <w:szCs w:val="20"/>
        </w:rPr>
        <w:lastRenderedPageBreak/>
        <w:t>Table 2. Bivariate and multivariable models.</w:t>
      </w:r>
    </w:p>
    <w:p w14:paraId="05B506CF" w14:textId="77777777" w:rsidR="002C403D" w:rsidRDefault="002C403D" w:rsidP="002C403D">
      <w:pPr>
        <w:pStyle w:val="NormalWeb"/>
        <w:spacing w:before="0" w:beforeAutospacing="0" w:after="0" w:afterAutospacing="0"/>
        <w:textAlignment w:val="baseline"/>
        <w:rPr>
          <w:rFonts w:ascii="Arial" w:hAnsi="Arial" w:cs="Arial"/>
          <w:color w:val="000000" w:themeColor="text1"/>
          <w:sz w:val="20"/>
          <w:szCs w:val="20"/>
        </w:rPr>
      </w:pPr>
    </w:p>
    <w:tbl>
      <w:tblPr>
        <w:tblW w:w="10710" w:type="dxa"/>
        <w:tblInd w:w="-630" w:type="dxa"/>
        <w:tblLayout w:type="fixed"/>
        <w:tblLook w:val="04A0" w:firstRow="1" w:lastRow="0" w:firstColumn="1" w:lastColumn="0" w:noHBand="0" w:noVBand="1"/>
      </w:tblPr>
      <w:tblGrid>
        <w:gridCol w:w="4320"/>
        <w:gridCol w:w="1170"/>
        <w:gridCol w:w="1260"/>
        <w:gridCol w:w="1080"/>
        <w:gridCol w:w="810"/>
        <w:gridCol w:w="1170"/>
        <w:gridCol w:w="900"/>
      </w:tblGrid>
      <w:tr w:rsidR="002C403D" w:rsidRPr="00E377CE" w14:paraId="2B04EF2F" w14:textId="77777777" w:rsidTr="001C4A0B">
        <w:trPr>
          <w:trHeight w:val="315"/>
        </w:trPr>
        <w:tc>
          <w:tcPr>
            <w:tcW w:w="4320" w:type="dxa"/>
            <w:tcBorders>
              <w:top w:val="nil"/>
              <w:left w:val="nil"/>
              <w:bottom w:val="nil"/>
              <w:right w:val="nil"/>
            </w:tcBorders>
            <w:shd w:val="clear" w:color="auto" w:fill="auto"/>
            <w:noWrap/>
            <w:vAlign w:val="bottom"/>
            <w:hideMark/>
          </w:tcPr>
          <w:p w14:paraId="0CD2F930" w14:textId="77777777" w:rsidR="002C403D" w:rsidRPr="00E377CE" w:rsidRDefault="002C403D" w:rsidP="001C4A0B">
            <w:pPr>
              <w:rPr>
                <w:sz w:val="18"/>
                <w:szCs w:val="18"/>
              </w:rPr>
            </w:pPr>
          </w:p>
        </w:tc>
        <w:tc>
          <w:tcPr>
            <w:tcW w:w="1170" w:type="dxa"/>
            <w:tcBorders>
              <w:top w:val="nil"/>
              <w:left w:val="nil"/>
              <w:bottom w:val="nil"/>
              <w:right w:val="nil"/>
            </w:tcBorders>
            <w:shd w:val="clear" w:color="auto" w:fill="auto"/>
            <w:noWrap/>
            <w:vAlign w:val="bottom"/>
            <w:hideMark/>
          </w:tcPr>
          <w:p w14:paraId="14AE4C94" w14:textId="77777777" w:rsidR="002C403D" w:rsidRPr="00E377CE" w:rsidRDefault="002C403D" w:rsidP="001C4A0B">
            <w:pPr>
              <w:rPr>
                <w:rFonts w:ascii="Calibri" w:hAnsi="Calibri" w:cs="Calibri"/>
                <w:b/>
                <w:bCs/>
                <w:color w:val="000000"/>
                <w:sz w:val="18"/>
                <w:szCs w:val="18"/>
              </w:rPr>
            </w:pPr>
            <w:r w:rsidRPr="00E377CE">
              <w:rPr>
                <w:rFonts w:ascii="Calibri" w:hAnsi="Calibri" w:cs="Calibri"/>
                <w:b/>
                <w:bCs/>
                <w:color w:val="000000"/>
                <w:sz w:val="18"/>
                <w:szCs w:val="18"/>
              </w:rPr>
              <w:t>Unadjusted ORs</w:t>
            </w:r>
          </w:p>
        </w:tc>
        <w:tc>
          <w:tcPr>
            <w:tcW w:w="1260" w:type="dxa"/>
            <w:tcBorders>
              <w:top w:val="nil"/>
              <w:left w:val="nil"/>
              <w:bottom w:val="nil"/>
              <w:right w:val="nil"/>
            </w:tcBorders>
            <w:shd w:val="clear" w:color="auto" w:fill="auto"/>
            <w:noWrap/>
            <w:vAlign w:val="bottom"/>
            <w:hideMark/>
          </w:tcPr>
          <w:p w14:paraId="7DBC8EB2" w14:textId="77777777" w:rsidR="002C403D" w:rsidRPr="00E377CE" w:rsidRDefault="002C403D" w:rsidP="001C4A0B">
            <w:pPr>
              <w:rPr>
                <w:rFonts w:ascii="Calibri" w:hAnsi="Calibri" w:cs="Calibri"/>
                <w:b/>
                <w:bCs/>
                <w:color w:val="000000"/>
                <w:sz w:val="18"/>
                <w:szCs w:val="18"/>
              </w:rPr>
            </w:pPr>
          </w:p>
        </w:tc>
        <w:tc>
          <w:tcPr>
            <w:tcW w:w="1080" w:type="dxa"/>
            <w:tcBorders>
              <w:top w:val="nil"/>
              <w:left w:val="nil"/>
              <w:bottom w:val="nil"/>
              <w:right w:val="nil"/>
            </w:tcBorders>
            <w:shd w:val="clear" w:color="auto" w:fill="auto"/>
            <w:noWrap/>
            <w:vAlign w:val="bottom"/>
            <w:hideMark/>
          </w:tcPr>
          <w:p w14:paraId="45BB4710" w14:textId="77777777" w:rsidR="002C403D" w:rsidRPr="00E377CE" w:rsidRDefault="002C403D" w:rsidP="001C4A0B">
            <w:pPr>
              <w:rPr>
                <w:sz w:val="18"/>
                <w:szCs w:val="18"/>
              </w:rPr>
            </w:pPr>
          </w:p>
        </w:tc>
        <w:tc>
          <w:tcPr>
            <w:tcW w:w="1980" w:type="dxa"/>
            <w:gridSpan w:val="2"/>
            <w:tcBorders>
              <w:top w:val="nil"/>
              <w:left w:val="nil"/>
              <w:bottom w:val="nil"/>
              <w:right w:val="nil"/>
            </w:tcBorders>
            <w:shd w:val="clear" w:color="auto" w:fill="auto"/>
            <w:noWrap/>
            <w:vAlign w:val="bottom"/>
            <w:hideMark/>
          </w:tcPr>
          <w:p w14:paraId="3CA20927" w14:textId="77777777" w:rsidR="002C403D" w:rsidRPr="00E377CE" w:rsidRDefault="002C403D" w:rsidP="001C4A0B">
            <w:pPr>
              <w:rPr>
                <w:rFonts w:ascii="Calibri" w:hAnsi="Calibri" w:cs="Calibri"/>
                <w:b/>
                <w:bCs/>
                <w:color w:val="000000"/>
                <w:sz w:val="18"/>
                <w:szCs w:val="18"/>
              </w:rPr>
            </w:pPr>
            <w:r w:rsidRPr="00E377CE">
              <w:rPr>
                <w:rFonts w:ascii="Calibri" w:hAnsi="Calibri" w:cs="Calibri"/>
                <w:b/>
                <w:bCs/>
                <w:color w:val="000000"/>
                <w:sz w:val="18"/>
                <w:szCs w:val="18"/>
              </w:rPr>
              <w:t>Final multivariable model</w:t>
            </w:r>
          </w:p>
        </w:tc>
        <w:tc>
          <w:tcPr>
            <w:tcW w:w="900" w:type="dxa"/>
            <w:tcBorders>
              <w:top w:val="nil"/>
              <w:left w:val="nil"/>
              <w:bottom w:val="nil"/>
              <w:right w:val="nil"/>
            </w:tcBorders>
            <w:shd w:val="clear" w:color="auto" w:fill="auto"/>
            <w:noWrap/>
            <w:vAlign w:val="bottom"/>
            <w:hideMark/>
          </w:tcPr>
          <w:p w14:paraId="2F45FCED" w14:textId="77777777" w:rsidR="002C403D" w:rsidRPr="00E377CE" w:rsidRDefault="002C403D" w:rsidP="001C4A0B">
            <w:pPr>
              <w:rPr>
                <w:rFonts w:ascii="Calibri" w:hAnsi="Calibri" w:cs="Calibri"/>
                <w:b/>
                <w:bCs/>
                <w:color w:val="000000"/>
                <w:sz w:val="18"/>
                <w:szCs w:val="18"/>
              </w:rPr>
            </w:pPr>
          </w:p>
        </w:tc>
      </w:tr>
      <w:tr w:rsidR="002C403D" w:rsidRPr="00E377CE" w14:paraId="36FF6203" w14:textId="77777777" w:rsidTr="001C4A0B">
        <w:trPr>
          <w:trHeight w:val="315"/>
        </w:trPr>
        <w:tc>
          <w:tcPr>
            <w:tcW w:w="4320" w:type="dxa"/>
            <w:tcBorders>
              <w:top w:val="nil"/>
              <w:left w:val="nil"/>
              <w:bottom w:val="nil"/>
              <w:right w:val="nil"/>
            </w:tcBorders>
            <w:shd w:val="clear" w:color="auto" w:fill="auto"/>
            <w:noWrap/>
            <w:vAlign w:val="bottom"/>
            <w:hideMark/>
          </w:tcPr>
          <w:p w14:paraId="7758A4CE" w14:textId="77777777" w:rsidR="002C403D" w:rsidRPr="00E377CE" w:rsidRDefault="002C403D" w:rsidP="001C4A0B">
            <w:pPr>
              <w:rPr>
                <w:sz w:val="18"/>
                <w:szCs w:val="18"/>
              </w:rPr>
            </w:pPr>
          </w:p>
        </w:tc>
        <w:tc>
          <w:tcPr>
            <w:tcW w:w="1170" w:type="dxa"/>
            <w:tcBorders>
              <w:top w:val="nil"/>
              <w:left w:val="nil"/>
              <w:bottom w:val="nil"/>
              <w:right w:val="nil"/>
            </w:tcBorders>
            <w:shd w:val="clear" w:color="auto" w:fill="auto"/>
            <w:noWrap/>
            <w:vAlign w:val="bottom"/>
            <w:hideMark/>
          </w:tcPr>
          <w:p w14:paraId="1EB75EA9" w14:textId="77777777" w:rsidR="002C403D" w:rsidRPr="00E377CE" w:rsidRDefault="002C403D" w:rsidP="001C4A0B">
            <w:pPr>
              <w:rPr>
                <w:sz w:val="18"/>
                <w:szCs w:val="18"/>
              </w:rPr>
            </w:pPr>
          </w:p>
        </w:tc>
        <w:tc>
          <w:tcPr>
            <w:tcW w:w="1260" w:type="dxa"/>
            <w:tcBorders>
              <w:top w:val="nil"/>
              <w:left w:val="nil"/>
              <w:bottom w:val="nil"/>
              <w:right w:val="nil"/>
            </w:tcBorders>
            <w:shd w:val="clear" w:color="auto" w:fill="auto"/>
            <w:noWrap/>
            <w:vAlign w:val="bottom"/>
            <w:hideMark/>
          </w:tcPr>
          <w:p w14:paraId="7BB73B8E" w14:textId="77777777" w:rsidR="002C403D" w:rsidRPr="00E377CE" w:rsidRDefault="002C403D" w:rsidP="001C4A0B">
            <w:pPr>
              <w:rPr>
                <w:sz w:val="18"/>
                <w:szCs w:val="18"/>
              </w:rPr>
            </w:pPr>
          </w:p>
        </w:tc>
        <w:tc>
          <w:tcPr>
            <w:tcW w:w="1080" w:type="dxa"/>
            <w:tcBorders>
              <w:top w:val="nil"/>
              <w:left w:val="nil"/>
              <w:bottom w:val="nil"/>
              <w:right w:val="nil"/>
            </w:tcBorders>
            <w:shd w:val="clear" w:color="auto" w:fill="auto"/>
            <w:noWrap/>
            <w:vAlign w:val="bottom"/>
            <w:hideMark/>
          </w:tcPr>
          <w:p w14:paraId="3F749F56" w14:textId="77777777" w:rsidR="002C403D" w:rsidRPr="00E377CE" w:rsidRDefault="002C403D" w:rsidP="001C4A0B">
            <w:pPr>
              <w:rPr>
                <w:sz w:val="18"/>
                <w:szCs w:val="18"/>
              </w:rPr>
            </w:pPr>
          </w:p>
        </w:tc>
        <w:tc>
          <w:tcPr>
            <w:tcW w:w="1980" w:type="dxa"/>
            <w:gridSpan w:val="2"/>
            <w:tcBorders>
              <w:top w:val="nil"/>
              <w:left w:val="nil"/>
              <w:bottom w:val="nil"/>
              <w:right w:val="nil"/>
            </w:tcBorders>
            <w:shd w:val="clear" w:color="auto" w:fill="auto"/>
            <w:noWrap/>
            <w:vAlign w:val="bottom"/>
            <w:hideMark/>
          </w:tcPr>
          <w:p w14:paraId="78117DAE" w14:textId="77777777" w:rsidR="002C403D" w:rsidRPr="00E377CE" w:rsidRDefault="002C403D" w:rsidP="001C4A0B">
            <w:pPr>
              <w:rPr>
                <w:rFonts w:ascii="Calibri" w:hAnsi="Calibri" w:cs="Calibri"/>
                <w:b/>
                <w:bCs/>
                <w:color w:val="70AD47"/>
                <w:sz w:val="18"/>
                <w:szCs w:val="18"/>
              </w:rPr>
            </w:pPr>
          </w:p>
        </w:tc>
        <w:tc>
          <w:tcPr>
            <w:tcW w:w="900" w:type="dxa"/>
            <w:tcBorders>
              <w:top w:val="nil"/>
              <w:left w:val="nil"/>
              <w:bottom w:val="nil"/>
              <w:right w:val="nil"/>
            </w:tcBorders>
            <w:shd w:val="clear" w:color="auto" w:fill="auto"/>
            <w:noWrap/>
            <w:vAlign w:val="bottom"/>
            <w:hideMark/>
          </w:tcPr>
          <w:p w14:paraId="520F7B70" w14:textId="77777777" w:rsidR="002C403D" w:rsidRPr="00E377CE" w:rsidRDefault="002C403D" w:rsidP="001C4A0B">
            <w:pPr>
              <w:rPr>
                <w:rFonts w:ascii="Calibri" w:hAnsi="Calibri" w:cs="Calibri"/>
                <w:b/>
                <w:bCs/>
                <w:color w:val="70AD47"/>
                <w:sz w:val="18"/>
                <w:szCs w:val="18"/>
              </w:rPr>
            </w:pPr>
          </w:p>
        </w:tc>
      </w:tr>
      <w:tr w:rsidR="002C403D" w:rsidRPr="00E377CE" w14:paraId="5A91B0C1" w14:textId="77777777" w:rsidTr="001C4A0B">
        <w:trPr>
          <w:trHeight w:val="330"/>
        </w:trPr>
        <w:tc>
          <w:tcPr>
            <w:tcW w:w="4320" w:type="dxa"/>
            <w:tcBorders>
              <w:top w:val="nil"/>
              <w:left w:val="nil"/>
              <w:bottom w:val="nil"/>
              <w:right w:val="nil"/>
            </w:tcBorders>
            <w:shd w:val="clear" w:color="auto" w:fill="auto"/>
            <w:noWrap/>
            <w:vAlign w:val="bottom"/>
            <w:hideMark/>
          </w:tcPr>
          <w:p w14:paraId="7E5FDD42" w14:textId="77777777" w:rsidR="002C403D" w:rsidRPr="00E377CE" w:rsidRDefault="002C403D" w:rsidP="001C4A0B">
            <w:pPr>
              <w:rPr>
                <w:sz w:val="18"/>
                <w:szCs w:val="18"/>
              </w:rPr>
            </w:pPr>
          </w:p>
        </w:tc>
        <w:tc>
          <w:tcPr>
            <w:tcW w:w="1170" w:type="dxa"/>
            <w:tcBorders>
              <w:top w:val="nil"/>
              <w:left w:val="nil"/>
              <w:bottom w:val="nil"/>
              <w:right w:val="nil"/>
            </w:tcBorders>
            <w:shd w:val="clear" w:color="auto" w:fill="auto"/>
            <w:noWrap/>
            <w:vAlign w:val="bottom"/>
            <w:hideMark/>
          </w:tcPr>
          <w:p w14:paraId="3EB83AD1" w14:textId="77777777" w:rsidR="002C403D" w:rsidRPr="00E377CE" w:rsidRDefault="002C403D" w:rsidP="001C4A0B">
            <w:pPr>
              <w:rPr>
                <w:rFonts w:ascii="Calibri" w:hAnsi="Calibri" w:cs="Calibri"/>
                <w:color w:val="000000"/>
                <w:sz w:val="18"/>
                <w:szCs w:val="18"/>
              </w:rPr>
            </w:pPr>
            <w:r w:rsidRPr="00E377CE">
              <w:rPr>
                <w:rFonts w:ascii="Calibri" w:hAnsi="Calibri" w:cs="Calibri"/>
                <w:color w:val="000000"/>
                <w:sz w:val="18"/>
                <w:szCs w:val="18"/>
              </w:rPr>
              <w:t>N=417</w:t>
            </w:r>
          </w:p>
        </w:tc>
        <w:tc>
          <w:tcPr>
            <w:tcW w:w="1260" w:type="dxa"/>
            <w:tcBorders>
              <w:top w:val="nil"/>
              <w:left w:val="nil"/>
              <w:bottom w:val="nil"/>
              <w:right w:val="nil"/>
            </w:tcBorders>
            <w:shd w:val="clear" w:color="auto" w:fill="auto"/>
            <w:noWrap/>
            <w:vAlign w:val="bottom"/>
            <w:hideMark/>
          </w:tcPr>
          <w:p w14:paraId="3CB537EC" w14:textId="77777777" w:rsidR="002C403D" w:rsidRPr="00E377CE" w:rsidRDefault="002C403D" w:rsidP="001C4A0B">
            <w:pPr>
              <w:rPr>
                <w:rFonts w:ascii="Calibri" w:hAnsi="Calibri" w:cs="Calibri"/>
                <w:color w:val="000000"/>
                <w:sz w:val="18"/>
                <w:szCs w:val="18"/>
              </w:rPr>
            </w:pPr>
          </w:p>
        </w:tc>
        <w:tc>
          <w:tcPr>
            <w:tcW w:w="1080" w:type="dxa"/>
            <w:tcBorders>
              <w:top w:val="nil"/>
              <w:left w:val="nil"/>
              <w:bottom w:val="nil"/>
              <w:right w:val="nil"/>
            </w:tcBorders>
            <w:shd w:val="clear" w:color="auto" w:fill="auto"/>
            <w:noWrap/>
            <w:vAlign w:val="bottom"/>
            <w:hideMark/>
          </w:tcPr>
          <w:p w14:paraId="0F2F23F7" w14:textId="77777777" w:rsidR="002C403D" w:rsidRPr="00E377CE" w:rsidRDefault="002C403D" w:rsidP="001C4A0B">
            <w:pPr>
              <w:rPr>
                <w:sz w:val="18"/>
                <w:szCs w:val="18"/>
              </w:rPr>
            </w:pPr>
          </w:p>
        </w:tc>
        <w:tc>
          <w:tcPr>
            <w:tcW w:w="810" w:type="dxa"/>
            <w:tcBorders>
              <w:top w:val="nil"/>
              <w:left w:val="nil"/>
              <w:bottom w:val="nil"/>
              <w:right w:val="nil"/>
            </w:tcBorders>
            <w:shd w:val="clear" w:color="auto" w:fill="auto"/>
            <w:noWrap/>
            <w:vAlign w:val="bottom"/>
            <w:hideMark/>
          </w:tcPr>
          <w:p w14:paraId="1E837C4C" w14:textId="77777777" w:rsidR="002C403D" w:rsidRPr="00E377CE" w:rsidRDefault="002C403D" w:rsidP="001C4A0B">
            <w:pPr>
              <w:rPr>
                <w:rFonts w:ascii="Calibri" w:hAnsi="Calibri" w:cs="Calibri"/>
                <w:color w:val="000000"/>
                <w:sz w:val="18"/>
                <w:szCs w:val="18"/>
              </w:rPr>
            </w:pPr>
            <w:r w:rsidRPr="00E377CE">
              <w:rPr>
                <w:rFonts w:ascii="Calibri" w:hAnsi="Calibri" w:cs="Calibri"/>
                <w:color w:val="000000"/>
                <w:sz w:val="18"/>
                <w:szCs w:val="18"/>
              </w:rPr>
              <w:t>N=416</w:t>
            </w:r>
          </w:p>
        </w:tc>
        <w:tc>
          <w:tcPr>
            <w:tcW w:w="1170" w:type="dxa"/>
            <w:tcBorders>
              <w:top w:val="nil"/>
              <w:left w:val="nil"/>
              <w:bottom w:val="nil"/>
              <w:right w:val="nil"/>
            </w:tcBorders>
            <w:shd w:val="clear" w:color="auto" w:fill="auto"/>
            <w:noWrap/>
            <w:vAlign w:val="bottom"/>
            <w:hideMark/>
          </w:tcPr>
          <w:p w14:paraId="3544209D" w14:textId="77777777" w:rsidR="002C403D" w:rsidRPr="00E377CE" w:rsidRDefault="002C403D" w:rsidP="001C4A0B">
            <w:pPr>
              <w:rPr>
                <w:rFonts w:ascii="Calibri" w:hAnsi="Calibri" w:cs="Calibri"/>
                <w:color w:val="000000"/>
                <w:sz w:val="18"/>
                <w:szCs w:val="18"/>
              </w:rPr>
            </w:pPr>
          </w:p>
        </w:tc>
        <w:tc>
          <w:tcPr>
            <w:tcW w:w="900" w:type="dxa"/>
            <w:tcBorders>
              <w:top w:val="nil"/>
              <w:left w:val="nil"/>
              <w:bottom w:val="nil"/>
              <w:right w:val="nil"/>
            </w:tcBorders>
            <w:shd w:val="clear" w:color="auto" w:fill="auto"/>
            <w:noWrap/>
            <w:vAlign w:val="bottom"/>
            <w:hideMark/>
          </w:tcPr>
          <w:p w14:paraId="11A3F8EF" w14:textId="77777777" w:rsidR="002C403D" w:rsidRPr="00E377CE" w:rsidRDefault="002C403D" w:rsidP="001C4A0B">
            <w:pPr>
              <w:rPr>
                <w:sz w:val="18"/>
                <w:szCs w:val="18"/>
              </w:rPr>
            </w:pPr>
          </w:p>
        </w:tc>
      </w:tr>
      <w:tr w:rsidR="002C403D" w:rsidRPr="00E377CE" w14:paraId="645517A8" w14:textId="77777777" w:rsidTr="001C4A0B">
        <w:trPr>
          <w:trHeight w:val="330"/>
        </w:trPr>
        <w:tc>
          <w:tcPr>
            <w:tcW w:w="4320" w:type="dxa"/>
            <w:tcBorders>
              <w:top w:val="single" w:sz="8" w:space="0" w:color="auto"/>
              <w:left w:val="single" w:sz="8" w:space="0" w:color="auto"/>
              <w:bottom w:val="single" w:sz="8" w:space="0" w:color="auto"/>
              <w:right w:val="nil"/>
            </w:tcBorders>
            <w:shd w:val="clear" w:color="auto" w:fill="auto"/>
            <w:noWrap/>
            <w:vAlign w:val="center"/>
            <w:hideMark/>
          </w:tcPr>
          <w:p w14:paraId="2236C457" w14:textId="77777777" w:rsidR="002C403D" w:rsidRPr="00E377CE" w:rsidRDefault="002C403D" w:rsidP="001C4A0B">
            <w:pPr>
              <w:rPr>
                <w:rFonts w:ascii="Calibri" w:hAnsi="Calibri" w:cs="Calibri"/>
                <w:b/>
                <w:bCs/>
                <w:color w:val="000000"/>
                <w:sz w:val="18"/>
                <w:szCs w:val="18"/>
              </w:rPr>
            </w:pPr>
            <w:r w:rsidRPr="00E377CE">
              <w:rPr>
                <w:rFonts w:ascii="Calibri" w:hAnsi="Calibri" w:cs="Calibri"/>
                <w:b/>
                <w:bCs/>
                <w:color w:val="000000"/>
                <w:sz w:val="18"/>
                <w:szCs w:val="18"/>
              </w:rPr>
              <w:t xml:space="preserve">Sociodemographic characteristics and structural vulnerability </w:t>
            </w:r>
          </w:p>
        </w:tc>
        <w:tc>
          <w:tcPr>
            <w:tcW w:w="1170" w:type="dxa"/>
            <w:tcBorders>
              <w:top w:val="single" w:sz="8" w:space="0" w:color="auto"/>
              <w:left w:val="nil"/>
              <w:bottom w:val="single" w:sz="8" w:space="0" w:color="auto"/>
              <w:right w:val="nil"/>
            </w:tcBorders>
            <w:shd w:val="clear" w:color="auto" w:fill="auto"/>
            <w:noWrap/>
            <w:vAlign w:val="bottom"/>
            <w:hideMark/>
          </w:tcPr>
          <w:p w14:paraId="2A170A7C" w14:textId="77777777" w:rsidR="002C403D" w:rsidRPr="00E377CE" w:rsidRDefault="002C403D" w:rsidP="001C4A0B">
            <w:pPr>
              <w:rPr>
                <w:rFonts w:ascii="Calibri" w:hAnsi="Calibri" w:cs="Calibri"/>
                <w:color w:val="000000"/>
                <w:sz w:val="18"/>
                <w:szCs w:val="18"/>
              </w:rPr>
            </w:pPr>
            <w:r>
              <w:rPr>
                <w:rFonts w:ascii="Calibri" w:hAnsi="Calibri" w:cs="Calibri"/>
                <w:color w:val="000000"/>
                <w:sz w:val="18"/>
                <w:szCs w:val="18"/>
              </w:rPr>
              <w:t xml:space="preserve"> </w:t>
            </w:r>
            <w:r w:rsidRPr="00E377CE">
              <w:rPr>
                <w:rFonts w:ascii="Calibri" w:hAnsi="Calibri" w:cs="Calibri"/>
                <w:color w:val="000000"/>
                <w:sz w:val="18"/>
                <w:szCs w:val="18"/>
              </w:rPr>
              <w:t>OR</w:t>
            </w:r>
          </w:p>
        </w:tc>
        <w:tc>
          <w:tcPr>
            <w:tcW w:w="1260" w:type="dxa"/>
            <w:tcBorders>
              <w:top w:val="single" w:sz="8" w:space="0" w:color="auto"/>
              <w:left w:val="nil"/>
              <w:bottom w:val="single" w:sz="8" w:space="0" w:color="auto"/>
              <w:right w:val="nil"/>
            </w:tcBorders>
            <w:shd w:val="clear" w:color="auto" w:fill="auto"/>
            <w:noWrap/>
            <w:vAlign w:val="bottom"/>
            <w:hideMark/>
          </w:tcPr>
          <w:p w14:paraId="50F9F875" w14:textId="77777777" w:rsidR="002C403D" w:rsidRPr="00E377CE" w:rsidRDefault="002C403D" w:rsidP="001C4A0B">
            <w:pPr>
              <w:rPr>
                <w:rFonts w:ascii="Calibri" w:hAnsi="Calibri" w:cs="Calibri"/>
                <w:color w:val="000000"/>
                <w:sz w:val="18"/>
                <w:szCs w:val="18"/>
              </w:rPr>
            </w:pPr>
            <w:r>
              <w:rPr>
                <w:rFonts w:ascii="Calibri" w:hAnsi="Calibri" w:cs="Calibri"/>
                <w:color w:val="000000"/>
                <w:sz w:val="18"/>
                <w:szCs w:val="18"/>
              </w:rPr>
              <w:t xml:space="preserve">        </w:t>
            </w:r>
            <w:r w:rsidRPr="00E377CE">
              <w:rPr>
                <w:rFonts w:ascii="Calibri" w:hAnsi="Calibri" w:cs="Calibri"/>
                <w:color w:val="000000"/>
                <w:sz w:val="18"/>
                <w:szCs w:val="18"/>
              </w:rPr>
              <w:t>95% CI</w:t>
            </w:r>
          </w:p>
        </w:tc>
        <w:tc>
          <w:tcPr>
            <w:tcW w:w="1080" w:type="dxa"/>
            <w:tcBorders>
              <w:top w:val="single" w:sz="8" w:space="0" w:color="auto"/>
              <w:left w:val="nil"/>
              <w:bottom w:val="single" w:sz="8" w:space="0" w:color="auto"/>
              <w:right w:val="nil"/>
            </w:tcBorders>
            <w:shd w:val="clear" w:color="auto" w:fill="auto"/>
            <w:noWrap/>
            <w:vAlign w:val="bottom"/>
            <w:hideMark/>
          </w:tcPr>
          <w:p w14:paraId="20BD904D" w14:textId="77777777" w:rsidR="002C403D" w:rsidRPr="00E377CE" w:rsidRDefault="002C403D" w:rsidP="001C4A0B">
            <w:pPr>
              <w:rPr>
                <w:rFonts w:ascii="Calibri" w:hAnsi="Calibri" w:cs="Calibri"/>
                <w:color w:val="000000"/>
                <w:sz w:val="18"/>
                <w:szCs w:val="18"/>
              </w:rPr>
            </w:pPr>
            <w:r>
              <w:rPr>
                <w:rFonts w:ascii="Calibri" w:hAnsi="Calibri" w:cs="Calibri"/>
                <w:color w:val="000000"/>
                <w:sz w:val="18"/>
                <w:szCs w:val="18"/>
              </w:rPr>
              <w:t xml:space="preserve">        </w:t>
            </w:r>
            <w:r w:rsidRPr="00E377CE">
              <w:rPr>
                <w:rFonts w:ascii="Calibri" w:hAnsi="Calibri" w:cs="Calibri"/>
                <w:color w:val="000000"/>
                <w:sz w:val="18"/>
                <w:szCs w:val="18"/>
              </w:rPr>
              <w:t>p</w:t>
            </w:r>
          </w:p>
        </w:tc>
        <w:tc>
          <w:tcPr>
            <w:tcW w:w="810" w:type="dxa"/>
            <w:tcBorders>
              <w:top w:val="single" w:sz="8" w:space="0" w:color="auto"/>
              <w:left w:val="nil"/>
              <w:bottom w:val="single" w:sz="8" w:space="0" w:color="auto"/>
              <w:right w:val="nil"/>
            </w:tcBorders>
            <w:shd w:val="clear" w:color="auto" w:fill="auto"/>
            <w:noWrap/>
            <w:vAlign w:val="bottom"/>
            <w:hideMark/>
          </w:tcPr>
          <w:p w14:paraId="23558DC0" w14:textId="77777777" w:rsidR="002C403D" w:rsidRPr="00E377CE" w:rsidRDefault="002C403D" w:rsidP="001C4A0B">
            <w:pPr>
              <w:rPr>
                <w:rFonts w:ascii="Calibri" w:hAnsi="Calibri" w:cs="Calibri"/>
                <w:color w:val="000000"/>
                <w:sz w:val="18"/>
                <w:szCs w:val="18"/>
              </w:rPr>
            </w:pPr>
            <w:r>
              <w:rPr>
                <w:rFonts w:ascii="Calibri" w:hAnsi="Calibri" w:cs="Calibri"/>
                <w:color w:val="000000"/>
                <w:sz w:val="18"/>
                <w:szCs w:val="18"/>
              </w:rPr>
              <w:t xml:space="preserve">  </w:t>
            </w:r>
            <w:r w:rsidRPr="00E377CE">
              <w:rPr>
                <w:rFonts w:ascii="Calibri" w:hAnsi="Calibri" w:cs="Calibri"/>
                <w:color w:val="000000"/>
                <w:sz w:val="18"/>
                <w:szCs w:val="18"/>
              </w:rPr>
              <w:t>OR</w:t>
            </w:r>
          </w:p>
        </w:tc>
        <w:tc>
          <w:tcPr>
            <w:tcW w:w="1170" w:type="dxa"/>
            <w:tcBorders>
              <w:top w:val="single" w:sz="8" w:space="0" w:color="auto"/>
              <w:left w:val="nil"/>
              <w:bottom w:val="single" w:sz="8" w:space="0" w:color="auto"/>
              <w:right w:val="nil"/>
            </w:tcBorders>
            <w:shd w:val="clear" w:color="auto" w:fill="auto"/>
            <w:noWrap/>
            <w:vAlign w:val="bottom"/>
            <w:hideMark/>
          </w:tcPr>
          <w:p w14:paraId="242BC5EF" w14:textId="77777777" w:rsidR="002C403D" w:rsidRPr="00E377CE" w:rsidRDefault="002C403D" w:rsidP="001C4A0B">
            <w:pPr>
              <w:rPr>
                <w:rFonts w:ascii="Calibri" w:hAnsi="Calibri" w:cs="Calibri"/>
                <w:color w:val="000000"/>
                <w:sz w:val="18"/>
                <w:szCs w:val="18"/>
              </w:rPr>
            </w:pPr>
            <w:r>
              <w:rPr>
                <w:rFonts w:ascii="Calibri" w:hAnsi="Calibri" w:cs="Calibri"/>
                <w:color w:val="000000"/>
                <w:sz w:val="18"/>
                <w:szCs w:val="18"/>
              </w:rPr>
              <w:t xml:space="preserve">  </w:t>
            </w:r>
            <w:r w:rsidRPr="00E377CE">
              <w:rPr>
                <w:rFonts w:ascii="Calibri" w:hAnsi="Calibri" w:cs="Calibri"/>
                <w:color w:val="000000"/>
                <w:sz w:val="18"/>
                <w:szCs w:val="18"/>
              </w:rPr>
              <w:t>95% CI</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14:paraId="3E552ABB" w14:textId="77777777" w:rsidR="002C403D" w:rsidRPr="00E377CE" w:rsidRDefault="002C403D" w:rsidP="001C4A0B">
            <w:pPr>
              <w:rPr>
                <w:rFonts w:ascii="Calibri" w:hAnsi="Calibri" w:cs="Calibri"/>
                <w:color w:val="000000"/>
                <w:sz w:val="18"/>
                <w:szCs w:val="18"/>
              </w:rPr>
            </w:pPr>
            <w:r>
              <w:rPr>
                <w:rFonts w:ascii="Calibri" w:hAnsi="Calibri" w:cs="Calibri"/>
                <w:color w:val="000000"/>
                <w:sz w:val="18"/>
                <w:szCs w:val="18"/>
              </w:rPr>
              <w:t xml:space="preserve">       </w:t>
            </w:r>
            <w:r w:rsidRPr="00E377CE">
              <w:rPr>
                <w:rFonts w:ascii="Calibri" w:hAnsi="Calibri" w:cs="Calibri"/>
                <w:color w:val="000000"/>
                <w:sz w:val="18"/>
                <w:szCs w:val="18"/>
              </w:rPr>
              <w:t>p</w:t>
            </w:r>
          </w:p>
        </w:tc>
      </w:tr>
      <w:tr w:rsidR="002C403D" w:rsidRPr="00E377CE" w14:paraId="29334D22" w14:textId="77777777" w:rsidTr="001C4A0B">
        <w:trPr>
          <w:trHeight w:val="315"/>
        </w:trPr>
        <w:tc>
          <w:tcPr>
            <w:tcW w:w="4320" w:type="dxa"/>
            <w:tcBorders>
              <w:top w:val="nil"/>
              <w:left w:val="single" w:sz="8" w:space="0" w:color="auto"/>
              <w:bottom w:val="nil"/>
              <w:right w:val="nil"/>
            </w:tcBorders>
            <w:shd w:val="clear" w:color="auto" w:fill="auto"/>
            <w:noWrap/>
            <w:vAlign w:val="center"/>
            <w:hideMark/>
          </w:tcPr>
          <w:p w14:paraId="2F796C10" w14:textId="4D172AA8" w:rsidR="002C403D" w:rsidRPr="00E377CE" w:rsidRDefault="003C4B9F" w:rsidP="001C4A0B">
            <w:pPr>
              <w:rPr>
                <w:rFonts w:ascii="Calibri" w:hAnsi="Calibri" w:cs="Calibri"/>
                <w:color w:val="000000"/>
                <w:sz w:val="18"/>
                <w:szCs w:val="18"/>
              </w:rPr>
            </w:pPr>
            <w:r>
              <w:rPr>
                <w:rFonts w:ascii="Calibri" w:hAnsi="Calibri" w:cs="Calibri"/>
                <w:color w:val="000000"/>
                <w:sz w:val="18"/>
                <w:szCs w:val="18"/>
              </w:rPr>
              <w:t>Location (study wave)</w:t>
            </w:r>
          </w:p>
        </w:tc>
        <w:tc>
          <w:tcPr>
            <w:tcW w:w="1170" w:type="dxa"/>
            <w:tcBorders>
              <w:top w:val="nil"/>
              <w:left w:val="nil"/>
              <w:bottom w:val="nil"/>
              <w:right w:val="nil"/>
            </w:tcBorders>
            <w:shd w:val="clear" w:color="auto" w:fill="auto"/>
            <w:noWrap/>
            <w:vAlign w:val="bottom"/>
            <w:hideMark/>
          </w:tcPr>
          <w:p w14:paraId="60336818" w14:textId="77777777" w:rsidR="002C403D" w:rsidRPr="00E377CE" w:rsidRDefault="002C403D" w:rsidP="001C4A0B">
            <w:pPr>
              <w:rPr>
                <w:rFonts w:ascii="Calibri" w:hAnsi="Calibri" w:cs="Calibri"/>
                <w:color w:val="000000"/>
                <w:sz w:val="18"/>
                <w:szCs w:val="18"/>
              </w:rPr>
            </w:pPr>
          </w:p>
        </w:tc>
        <w:tc>
          <w:tcPr>
            <w:tcW w:w="1260" w:type="dxa"/>
            <w:tcBorders>
              <w:top w:val="nil"/>
              <w:left w:val="nil"/>
              <w:bottom w:val="nil"/>
              <w:right w:val="nil"/>
            </w:tcBorders>
            <w:shd w:val="clear" w:color="auto" w:fill="auto"/>
            <w:noWrap/>
            <w:vAlign w:val="bottom"/>
            <w:hideMark/>
          </w:tcPr>
          <w:p w14:paraId="2F2D4918" w14:textId="77777777" w:rsidR="002C403D" w:rsidRPr="00E377CE" w:rsidRDefault="002C403D" w:rsidP="001C4A0B">
            <w:pPr>
              <w:rPr>
                <w:sz w:val="18"/>
                <w:szCs w:val="18"/>
              </w:rPr>
            </w:pPr>
          </w:p>
        </w:tc>
        <w:tc>
          <w:tcPr>
            <w:tcW w:w="1080" w:type="dxa"/>
            <w:tcBorders>
              <w:top w:val="nil"/>
              <w:left w:val="nil"/>
              <w:bottom w:val="nil"/>
              <w:right w:val="nil"/>
            </w:tcBorders>
            <w:shd w:val="clear" w:color="auto" w:fill="auto"/>
            <w:noWrap/>
            <w:vAlign w:val="bottom"/>
            <w:hideMark/>
          </w:tcPr>
          <w:p w14:paraId="7759F887" w14:textId="77777777" w:rsidR="002C403D" w:rsidRPr="00E377CE" w:rsidRDefault="002C403D" w:rsidP="001C4A0B">
            <w:pPr>
              <w:rPr>
                <w:sz w:val="18"/>
                <w:szCs w:val="18"/>
              </w:rPr>
            </w:pPr>
          </w:p>
        </w:tc>
        <w:tc>
          <w:tcPr>
            <w:tcW w:w="810" w:type="dxa"/>
            <w:tcBorders>
              <w:top w:val="nil"/>
              <w:left w:val="nil"/>
              <w:bottom w:val="nil"/>
              <w:right w:val="nil"/>
            </w:tcBorders>
            <w:shd w:val="clear" w:color="auto" w:fill="auto"/>
            <w:noWrap/>
            <w:vAlign w:val="bottom"/>
            <w:hideMark/>
          </w:tcPr>
          <w:p w14:paraId="51A058F0" w14:textId="77777777" w:rsidR="002C403D" w:rsidRPr="00E377CE" w:rsidRDefault="002C403D" w:rsidP="001C4A0B">
            <w:pPr>
              <w:rPr>
                <w:sz w:val="18"/>
                <w:szCs w:val="18"/>
              </w:rPr>
            </w:pPr>
          </w:p>
        </w:tc>
        <w:tc>
          <w:tcPr>
            <w:tcW w:w="1170" w:type="dxa"/>
            <w:tcBorders>
              <w:top w:val="nil"/>
              <w:left w:val="nil"/>
              <w:bottom w:val="nil"/>
              <w:right w:val="nil"/>
            </w:tcBorders>
            <w:shd w:val="clear" w:color="auto" w:fill="auto"/>
            <w:noWrap/>
            <w:vAlign w:val="bottom"/>
            <w:hideMark/>
          </w:tcPr>
          <w:p w14:paraId="0F80DFCF" w14:textId="77777777" w:rsidR="002C403D" w:rsidRPr="00E377CE" w:rsidRDefault="002C403D" w:rsidP="001C4A0B">
            <w:pPr>
              <w:jc w:val="center"/>
              <w:rPr>
                <w:sz w:val="18"/>
                <w:szCs w:val="18"/>
              </w:rPr>
            </w:pPr>
          </w:p>
        </w:tc>
        <w:tc>
          <w:tcPr>
            <w:tcW w:w="900" w:type="dxa"/>
            <w:tcBorders>
              <w:top w:val="nil"/>
              <w:left w:val="nil"/>
              <w:bottom w:val="nil"/>
              <w:right w:val="single" w:sz="8" w:space="0" w:color="auto"/>
            </w:tcBorders>
            <w:shd w:val="clear" w:color="auto" w:fill="auto"/>
            <w:noWrap/>
            <w:vAlign w:val="bottom"/>
            <w:hideMark/>
          </w:tcPr>
          <w:p w14:paraId="5E16BBE6"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 </w:t>
            </w:r>
          </w:p>
        </w:tc>
      </w:tr>
      <w:tr w:rsidR="002C403D" w:rsidRPr="00E377CE" w14:paraId="637B6DB7" w14:textId="77777777" w:rsidTr="001C4A0B">
        <w:trPr>
          <w:trHeight w:val="315"/>
        </w:trPr>
        <w:tc>
          <w:tcPr>
            <w:tcW w:w="4320" w:type="dxa"/>
            <w:tcBorders>
              <w:top w:val="nil"/>
              <w:left w:val="single" w:sz="8" w:space="0" w:color="auto"/>
              <w:bottom w:val="nil"/>
              <w:right w:val="nil"/>
            </w:tcBorders>
            <w:shd w:val="clear" w:color="auto" w:fill="auto"/>
            <w:noWrap/>
            <w:vAlign w:val="center"/>
            <w:hideMark/>
          </w:tcPr>
          <w:p w14:paraId="3022DE61" w14:textId="77777777" w:rsidR="002C403D" w:rsidRPr="00E377CE" w:rsidRDefault="002C403D" w:rsidP="001C4A0B">
            <w:pPr>
              <w:ind w:firstLineChars="200" w:firstLine="360"/>
              <w:rPr>
                <w:rFonts w:ascii="Calibri" w:hAnsi="Calibri" w:cs="Calibri"/>
                <w:color w:val="000000"/>
                <w:sz w:val="18"/>
                <w:szCs w:val="18"/>
              </w:rPr>
            </w:pPr>
            <w:r w:rsidRPr="00E377CE">
              <w:rPr>
                <w:rFonts w:ascii="Calibri" w:hAnsi="Calibri" w:cs="Calibri"/>
                <w:color w:val="000000"/>
                <w:sz w:val="18"/>
                <w:szCs w:val="18"/>
              </w:rPr>
              <w:t>Baltimore</w:t>
            </w:r>
            <w:r>
              <w:rPr>
                <w:rFonts w:ascii="Calibri" w:hAnsi="Calibri" w:cs="Calibri"/>
                <w:color w:val="000000"/>
                <w:sz w:val="18"/>
                <w:szCs w:val="18"/>
              </w:rPr>
              <w:t xml:space="preserve"> City</w:t>
            </w:r>
          </w:p>
        </w:tc>
        <w:tc>
          <w:tcPr>
            <w:tcW w:w="1170" w:type="dxa"/>
            <w:tcBorders>
              <w:top w:val="nil"/>
              <w:left w:val="nil"/>
              <w:bottom w:val="nil"/>
              <w:right w:val="nil"/>
            </w:tcBorders>
            <w:shd w:val="clear" w:color="auto" w:fill="auto"/>
            <w:noWrap/>
            <w:vAlign w:val="bottom"/>
            <w:hideMark/>
          </w:tcPr>
          <w:p w14:paraId="44B9FE96"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ref</w:t>
            </w:r>
          </w:p>
        </w:tc>
        <w:tc>
          <w:tcPr>
            <w:tcW w:w="1260" w:type="dxa"/>
            <w:tcBorders>
              <w:top w:val="nil"/>
              <w:left w:val="nil"/>
              <w:bottom w:val="nil"/>
              <w:right w:val="nil"/>
            </w:tcBorders>
            <w:shd w:val="clear" w:color="auto" w:fill="auto"/>
            <w:noWrap/>
            <w:vAlign w:val="bottom"/>
            <w:hideMark/>
          </w:tcPr>
          <w:p w14:paraId="2E68A80B" w14:textId="77777777" w:rsidR="002C403D" w:rsidRPr="00E377CE" w:rsidRDefault="002C403D" w:rsidP="001C4A0B">
            <w:pPr>
              <w:jc w:val="center"/>
              <w:rPr>
                <w:rFonts w:ascii="Calibri" w:hAnsi="Calibri" w:cs="Calibri"/>
                <w:color w:val="000000"/>
                <w:sz w:val="18"/>
                <w:szCs w:val="18"/>
              </w:rPr>
            </w:pPr>
          </w:p>
        </w:tc>
        <w:tc>
          <w:tcPr>
            <w:tcW w:w="1080" w:type="dxa"/>
            <w:tcBorders>
              <w:top w:val="nil"/>
              <w:left w:val="nil"/>
              <w:bottom w:val="nil"/>
              <w:right w:val="nil"/>
            </w:tcBorders>
            <w:shd w:val="clear" w:color="auto" w:fill="auto"/>
            <w:noWrap/>
            <w:vAlign w:val="bottom"/>
            <w:hideMark/>
          </w:tcPr>
          <w:p w14:paraId="000388E3" w14:textId="77777777" w:rsidR="002C403D" w:rsidRPr="00E377CE" w:rsidRDefault="002C403D" w:rsidP="001C4A0B">
            <w:pPr>
              <w:jc w:val="center"/>
              <w:rPr>
                <w:sz w:val="18"/>
                <w:szCs w:val="18"/>
              </w:rPr>
            </w:pPr>
          </w:p>
        </w:tc>
        <w:tc>
          <w:tcPr>
            <w:tcW w:w="810" w:type="dxa"/>
            <w:tcBorders>
              <w:top w:val="nil"/>
              <w:left w:val="nil"/>
              <w:bottom w:val="nil"/>
              <w:right w:val="nil"/>
            </w:tcBorders>
            <w:shd w:val="clear" w:color="auto" w:fill="auto"/>
            <w:noWrap/>
            <w:vAlign w:val="bottom"/>
            <w:hideMark/>
          </w:tcPr>
          <w:p w14:paraId="22A72C9B"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ref</w:t>
            </w:r>
          </w:p>
        </w:tc>
        <w:tc>
          <w:tcPr>
            <w:tcW w:w="1170" w:type="dxa"/>
            <w:tcBorders>
              <w:top w:val="nil"/>
              <w:left w:val="nil"/>
              <w:bottom w:val="nil"/>
              <w:right w:val="nil"/>
            </w:tcBorders>
            <w:shd w:val="clear" w:color="auto" w:fill="auto"/>
            <w:noWrap/>
            <w:vAlign w:val="bottom"/>
            <w:hideMark/>
          </w:tcPr>
          <w:p w14:paraId="0266FC5F" w14:textId="77777777" w:rsidR="002C403D" w:rsidRPr="00E377CE" w:rsidRDefault="002C403D" w:rsidP="001C4A0B">
            <w:pPr>
              <w:jc w:val="center"/>
              <w:rPr>
                <w:rFonts w:ascii="Calibri" w:hAnsi="Calibri" w:cs="Calibri"/>
                <w:color w:val="000000"/>
                <w:sz w:val="18"/>
                <w:szCs w:val="18"/>
              </w:rPr>
            </w:pPr>
          </w:p>
        </w:tc>
        <w:tc>
          <w:tcPr>
            <w:tcW w:w="900" w:type="dxa"/>
            <w:tcBorders>
              <w:top w:val="nil"/>
              <w:left w:val="nil"/>
              <w:bottom w:val="nil"/>
              <w:right w:val="single" w:sz="8" w:space="0" w:color="auto"/>
            </w:tcBorders>
            <w:shd w:val="clear" w:color="auto" w:fill="auto"/>
            <w:noWrap/>
            <w:vAlign w:val="bottom"/>
            <w:hideMark/>
          </w:tcPr>
          <w:p w14:paraId="43EC8371"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 </w:t>
            </w:r>
          </w:p>
        </w:tc>
      </w:tr>
      <w:tr w:rsidR="002C403D" w:rsidRPr="00E377CE" w14:paraId="37069972" w14:textId="77777777" w:rsidTr="001C4A0B">
        <w:trPr>
          <w:trHeight w:val="315"/>
        </w:trPr>
        <w:tc>
          <w:tcPr>
            <w:tcW w:w="4320" w:type="dxa"/>
            <w:tcBorders>
              <w:top w:val="nil"/>
              <w:left w:val="single" w:sz="8" w:space="0" w:color="auto"/>
              <w:bottom w:val="nil"/>
              <w:right w:val="nil"/>
            </w:tcBorders>
            <w:shd w:val="clear" w:color="auto" w:fill="auto"/>
            <w:noWrap/>
            <w:vAlign w:val="center"/>
            <w:hideMark/>
          </w:tcPr>
          <w:p w14:paraId="112CEE9C" w14:textId="77777777" w:rsidR="002C403D" w:rsidRPr="00E377CE" w:rsidRDefault="002C403D" w:rsidP="001C4A0B">
            <w:pPr>
              <w:ind w:firstLineChars="200" w:firstLine="360"/>
              <w:rPr>
                <w:rFonts w:ascii="Calibri" w:hAnsi="Calibri" w:cs="Calibri"/>
                <w:color w:val="000000"/>
                <w:sz w:val="18"/>
                <w:szCs w:val="18"/>
              </w:rPr>
            </w:pPr>
            <w:r w:rsidRPr="00E377CE">
              <w:rPr>
                <w:rFonts w:ascii="Calibri" w:hAnsi="Calibri" w:cs="Calibri"/>
                <w:color w:val="000000"/>
                <w:sz w:val="18"/>
                <w:szCs w:val="18"/>
              </w:rPr>
              <w:t>Anne Arundel</w:t>
            </w:r>
            <w:r>
              <w:rPr>
                <w:rFonts w:ascii="Calibri" w:hAnsi="Calibri" w:cs="Calibri"/>
                <w:color w:val="000000"/>
                <w:sz w:val="18"/>
                <w:szCs w:val="18"/>
              </w:rPr>
              <w:t xml:space="preserve"> County</w:t>
            </w:r>
          </w:p>
        </w:tc>
        <w:tc>
          <w:tcPr>
            <w:tcW w:w="1170" w:type="dxa"/>
            <w:tcBorders>
              <w:top w:val="nil"/>
              <w:left w:val="nil"/>
              <w:bottom w:val="nil"/>
              <w:right w:val="nil"/>
            </w:tcBorders>
            <w:shd w:val="clear" w:color="auto" w:fill="auto"/>
            <w:noWrap/>
            <w:vAlign w:val="bottom"/>
            <w:hideMark/>
          </w:tcPr>
          <w:p w14:paraId="03CA8415"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0.71</w:t>
            </w:r>
          </w:p>
        </w:tc>
        <w:tc>
          <w:tcPr>
            <w:tcW w:w="1260" w:type="dxa"/>
            <w:tcBorders>
              <w:top w:val="nil"/>
              <w:left w:val="nil"/>
              <w:bottom w:val="nil"/>
              <w:right w:val="nil"/>
            </w:tcBorders>
            <w:shd w:val="clear" w:color="auto" w:fill="auto"/>
            <w:noWrap/>
            <w:vAlign w:val="bottom"/>
            <w:hideMark/>
          </w:tcPr>
          <w:p w14:paraId="0B39CFF5"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0.42 - 1.18</w:t>
            </w:r>
          </w:p>
        </w:tc>
        <w:tc>
          <w:tcPr>
            <w:tcW w:w="1080" w:type="dxa"/>
            <w:tcBorders>
              <w:top w:val="nil"/>
              <w:left w:val="nil"/>
              <w:bottom w:val="nil"/>
              <w:right w:val="nil"/>
            </w:tcBorders>
            <w:shd w:val="clear" w:color="auto" w:fill="auto"/>
            <w:noWrap/>
            <w:vAlign w:val="bottom"/>
            <w:hideMark/>
          </w:tcPr>
          <w:p w14:paraId="43EB9191"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0.182</w:t>
            </w:r>
          </w:p>
        </w:tc>
        <w:tc>
          <w:tcPr>
            <w:tcW w:w="810" w:type="dxa"/>
            <w:tcBorders>
              <w:top w:val="nil"/>
              <w:left w:val="nil"/>
              <w:bottom w:val="nil"/>
              <w:right w:val="nil"/>
            </w:tcBorders>
            <w:shd w:val="clear" w:color="auto" w:fill="auto"/>
            <w:noWrap/>
            <w:vAlign w:val="bottom"/>
            <w:hideMark/>
          </w:tcPr>
          <w:p w14:paraId="3F3C3DEB"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0.83</w:t>
            </w:r>
          </w:p>
        </w:tc>
        <w:tc>
          <w:tcPr>
            <w:tcW w:w="1170" w:type="dxa"/>
            <w:tcBorders>
              <w:top w:val="nil"/>
              <w:left w:val="nil"/>
              <w:bottom w:val="nil"/>
              <w:right w:val="nil"/>
            </w:tcBorders>
            <w:shd w:val="clear" w:color="auto" w:fill="auto"/>
            <w:noWrap/>
            <w:vAlign w:val="bottom"/>
            <w:hideMark/>
          </w:tcPr>
          <w:p w14:paraId="05203CD6"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0.46 - 1.50</w:t>
            </w:r>
          </w:p>
        </w:tc>
        <w:tc>
          <w:tcPr>
            <w:tcW w:w="900" w:type="dxa"/>
            <w:tcBorders>
              <w:top w:val="nil"/>
              <w:left w:val="nil"/>
              <w:bottom w:val="nil"/>
              <w:right w:val="single" w:sz="8" w:space="0" w:color="auto"/>
            </w:tcBorders>
            <w:shd w:val="clear" w:color="auto" w:fill="auto"/>
            <w:noWrap/>
            <w:vAlign w:val="bottom"/>
            <w:hideMark/>
          </w:tcPr>
          <w:p w14:paraId="40CA96C3"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0.536</w:t>
            </w:r>
          </w:p>
        </w:tc>
      </w:tr>
      <w:tr w:rsidR="002C403D" w:rsidRPr="00E377CE" w14:paraId="0278023F" w14:textId="77777777" w:rsidTr="001C4A0B">
        <w:trPr>
          <w:trHeight w:val="315"/>
        </w:trPr>
        <w:tc>
          <w:tcPr>
            <w:tcW w:w="4320" w:type="dxa"/>
            <w:tcBorders>
              <w:top w:val="nil"/>
              <w:left w:val="single" w:sz="8" w:space="0" w:color="auto"/>
              <w:bottom w:val="nil"/>
              <w:right w:val="nil"/>
            </w:tcBorders>
            <w:shd w:val="clear" w:color="auto" w:fill="auto"/>
            <w:noWrap/>
            <w:vAlign w:val="center"/>
            <w:hideMark/>
          </w:tcPr>
          <w:p w14:paraId="133985C1" w14:textId="77777777" w:rsidR="002C403D" w:rsidRPr="00E377CE" w:rsidRDefault="002C403D" w:rsidP="001C4A0B">
            <w:pPr>
              <w:rPr>
                <w:rFonts w:ascii="Calibri" w:hAnsi="Calibri" w:cs="Calibri"/>
                <w:color w:val="000000"/>
                <w:sz w:val="18"/>
                <w:szCs w:val="18"/>
              </w:rPr>
            </w:pPr>
            <w:r w:rsidRPr="00E377CE">
              <w:rPr>
                <w:rFonts w:ascii="Calibri" w:hAnsi="Calibri" w:cs="Calibri"/>
                <w:color w:val="000000"/>
                <w:sz w:val="18"/>
                <w:szCs w:val="18"/>
              </w:rPr>
              <w:t>Age, mean (SD)</w:t>
            </w:r>
          </w:p>
        </w:tc>
        <w:tc>
          <w:tcPr>
            <w:tcW w:w="1170" w:type="dxa"/>
            <w:tcBorders>
              <w:top w:val="nil"/>
              <w:left w:val="nil"/>
              <w:bottom w:val="nil"/>
              <w:right w:val="nil"/>
            </w:tcBorders>
            <w:shd w:val="clear" w:color="auto" w:fill="auto"/>
            <w:noWrap/>
            <w:vAlign w:val="bottom"/>
            <w:hideMark/>
          </w:tcPr>
          <w:p w14:paraId="20CD00B3"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1.00</w:t>
            </w:r>
          </w:p>
        </w:tc>
        <w:tc>
          <w:tcPr>
            <w:tcW w:w="1260" w:type="dxa"/>
            <w:tcBorders>
              <w:top w:val="nil"/>
              <w:left w:val="nil"/>
              <w:bottom w:val="nil"/>
              <w:right w:val="nil"/>
            </w:tcBorders>
            <w:shd w:val="clear" w:color="auto" w:fill="auto"/>
            <w:noWrap/>
            <w:vAlign w:val="bottom"/>
            <w:hideMark/>
          </w:tcPr>
          <w:p w14:paraId="73A0A6B8"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0.98 - 1.03</w:t>
            </w:r>
          </w:p>
        </w:tc>
        <w:tc>
          <w:tcPr>
            <w:tcW w:w="1080" w:type="dxa"/>
            <w:tcBorders>
              <w:top w:val="nil"/>
              <w:left w:val="nil"/>
              <w:bottom w:val="nil"/>
              <w:right w:val="nil"/>
            </w:tcBorders>
            <w:shd w:val="clear" w:color="auto" w:fill="auto"/>
            <w:noWrap/>
            <w:vAlign w:val="bottom"/>
            <w:hideMark/>
          </w:tcPr>
          <w:p w14:paraId="7528DCEC"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0.631</w:t>
            </w:r>
          </w:p>
        </w:tc>
        <w:tc>
          <w:tcPr>
            <w:tcW w:w="810" w:type="dxa"/>
            <w:tcBorders>
              <w:top w:val="nil"/>
              <w:left w:val="nil"/>
              <w:bottom w:val="nil"/>
              <w:right w:val="nil"/>
            </w:tcBorders>
            <w:shd w:val="clear" w:color="auto" w:fill="auto"/>
            <w:noWrap/>
            <w:vAlign w:val="bottom"/>
            <w:hideMark/>
          </w:tcPr>
          <w:p w14:paraId="3BB04225"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1.02</w:t>
            </w:r>
          </w:p>
        </w:tc>
        <w:tc>
          <w:tcPr>
            <w:tcW w:w="1170" w:type="dxa"/>
            <w:tcBorders>
              <w:top w:val="nil"/>
              <w:left w:val="nil"/>
              <w:bottom w:val="nil"/>
              <w:right w:val="nil"/>
            </w:tcBorders>
            <w:shd w:val="clear" w:color="auto" w:fill="auto"/>
            <w:noWrap/>
            <w:vAlign w:val="bottom"/>
            <w:hideMark/>
          </w:tcPr>
          <w:p w14:paraId="73E65B62"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0.99 - 1.05</w:t>
            </w:r>
          </w:p>
        </w:tc>
        <w:tc>
          <w:tcPr>
            <w:tcW w:w="900" w:type="dxa"/>
            <w:tcBorders>
              <w:top w:val="nil"/>
              <w:left w:val="nil"/>
              <w:bottom w:val="nil"/>
              <w:right w:val="single" w:sz="8" w:space="0" w:color="auto"/>
            </w:tcBorders>
            <w:shd w:val="clear" w:color="auto" w:fill="auto"/>
            <w:noWrap/>
            <w:vAlign w:val="bottom"/>
            <w:hideMark/>
          </w:tcPr>
          <w:p w14:paraId="674CA58D"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0.153</w:t>
            </w:r>
          </w:p>
        </w:tc>
      </w:tr>
      <w:tr w:rsidR="002C403D" w:rsidRPr="00E377CE" w14:paraId="2A3FAAED" w14:textId="77777777" w:rsidTr="001C4A0B">
        <w:trPr>
          <w:trHeight w:val="315"/>
        </w:trPr>
        <w:tc>
          <w:tcPr>
            <w:tcW w:w="4320" w:type="dxa"/>
            <w:tcBorders>
              <w:top w:val="nil"/>
              <w:left w:val="single" w:sz="8" w:space="0" w:color="auto"/>
              <w:bottom w:val="nil"/>
              <w:right w:val="nil"/>
            </w:tcBorders>
            <w:shd w:val="clear" w:color="auto" w:fill="auto"/>
            <w:noWrap/>
            <w:vAlign w:val="center"/>
            <w:hideMark/>
          </w:tcPr>
          <w:p w14:paraId="50FACD34" w14:textId="77777777" w:rsidR="002C403D" w:rsidRPr="00E377CE" w:rsidRDefault="002C403D" w:rsidP="001C4A0B">
            <w:pPr>
              <w:rPr>
                <w:rFonts w:ascii="Calibri" w:hAnsi="Calibri" w:cs="Calibri"/>
                <w:color w:val="000000"/>
                <w:sz w:val="18"/>
                <w:szCs w:val="18"/>
              </w:rPr>
            </w:pPr>
            <w:r w:rsidRPr="00E377CE">
              <w:rPr>
                <w:rFonts w:ascii="Calibri" w:hAnsi="Calibri" w:cs="Calibri"/>
                <w:color w:val="000000"/>
                <w:sz w:val="18"/>
                <w:szCs w:val="18"/>
              </w:rPr>
              <w:t>Sex</w:t>
            </w:r>
          </w:p>
        </w:tc>
        <w:tc>
          <w:tcPr>
            <w:tcW w:w="1170" w:type="dxa"/>
            <w:tcBorders>
              <w:top w:val="nil"/>
              <w:left w:val="nil"/>
              <w:bottom w:val="nil"/>
              <w:right w:val="nil"/>
            </w:tcBorders>
            <w:shd w:val="clear" w:color="auto" w:fill="auto"/>
            <w:noWrap/>
            <w:vAlign w:val="bottom"/>
            <w:hideMark/>
          </w:tcPr>
          <w:p w14:paraId="409F2513" w14:textId="77777777" w:rsidR="002C403D" w:rsidRPr="00E377CE" w:rsidRDefault="002C403D" w:rsidP="001C4A0B">
            <w:pPr>
              <w:rPr>
                <w:rFonts w:ascii="Calibri" w:hAnsi="Calibri" w:cs="Calibri"/>
                <w:color w:val="000000"/>
                <w:sz w:val="18"/>
                <w:szCs w:val="18"/>
              </w:rPr>
            </w:pPr>
          </w:p>
        </w:tc>
        <w:tc>
          <w:tcPr>
            <w:tcW w:w="1260" w:type="dxa"/>
            <w:tcBorders>
              <w:top w:val="nil"/>
              <w:left w:val="nil"/>
              <w:bottom w:val="nil"/>
              <w:right w:val="nil"/>
            </w:tcBorders>
            <w:shd w:val="clear" w:color="auto" w:fill="auto"/>
            <w:noWrap/>
            <w:vAlign w:val="bottom"/>
            <w:hideMark/>
          </w:tcPr>
          <w:p w14:paraId="345E2AEF" w14:textId="77777777" w:rsidR="002C403D" w:rsidRPr="00E377CE" w:rsidRDefault="002C403D" w:rsidP="001C4A0B">
            <w:pPr>
              <w:jc w:val="center"/>
              <w:rPr>
                <w:sz w:val="18"/>
                <w:szCs w:val="18"/>
              </w:rPr>
            </w:pPr>
          </w:p>
        </w:tc>
        <w:tc>
          <w:tcPr>
            <w:tcW w:w="1080" w:type="dxa"/>
            <w:tcBorders>
              <w:top w:val="nil"/>
              <w:left w:val="nil"/>
              <w:bottom w:val="nil"/>
              <w:right w:val="nil"/>
            </w:tcBorders>
            <w:shd w:val="clear" w:color="auto" w:fill="auto"/>
            <w:noWrap/>
            <w:vAlign w:val="bottom"/>
            <w:hideMark/>
          </w:tcPr>
          <w:p w14:paraId="1BA1F548" w14:textId="77777777" w:rsidR="002C403D" w:rsidRPr="00E377CE" w:rsidRDefault="002C403D" w:rsidP="001C4A0B">
            <w:pPr>
              <w:jc w:val="center"/>
              <w:rPr>
                <w:sz w:val="18"/>
                <w:szCs w:val="18"/>
              </w:rPr>
            </w:pPr>
          </w:p>
        </w:tc>
        <w:tc>
          <w:tcPr>
            <w:tcW w:w="810" w:type="dxa"/>
            <w:tcBorders>
              <w:top w:val="nil"/>
              <w:left w:val="nil"/>
              <w:bottom w:val="nil"/>
              <w:right w:val="nil"/>
            </w:tcBorders>
            <w:shd w:val="clear" w:color="auto" w:fill="auto"/>
            <w:noWrap/>
            <w:vAlign w:val="bottom"/>
            <w:hideMark/>
          </w:tcPr>
          <w:p w14:paraId="2F4B988F" w14:textId="77777777" w:rsidR="002C403D" w:rsidRPr="00E377CE" w:rsidRDefault="002C403D" w:rsidP="001C4A0B">
            <w:pPr>
              <w:jc w:val="center"/>
              <w:rPr>
                <w:sz w:val="18"/>
                <w:szCs w:val="18"/>
              </w:rPr>
            </w:pPr>
          </w:p>
        </w:tc>
        <w:tc>
          <w:tcPr>
            <w:tcW w:w="1170" w:type="dxa"/>
            <w:tcBorders>
              <w:top w:val="nil"/>
              <w:left w:val="nil"/>
              <w:bottom w:val="nil"/>
              <w:right w:val="nil"/>
            </w:tcBorders>
            <w:shd w:val="clear" w:color="auto" w:fill="auto"/>
            <w:noWrap/>
            <w:vAlign w:val="bottom"/>
            <w:hideMark/>
          </w:tcPr>
          <w:p w14:paraId="022871C8" w14:textId="77777777" w:rsidR="002C403D" w:rsidRPr="00E377CE" w:rsidRDefault="002C403D" w:rsidP="001C4A0B">
            <w:pPr>
              <w:jc w:val="center"/>
              <w:rPr>
                <w:sz w:val="18"/>
                <w:szCs w:val="18"/>
              </w:rPr>
            </w:pPr>
          </w:p>
        </w:tc>
        <w:tc>
          <w:tcPr>
            <w:tcW w:w="900" w:type="dxa"/>
            <w:tcBorders>
              <w:top w:val="nil"/>
              <w:left w:val="nil"/>
              <w:bottom w:val="nil"/>
              <w:right w:val="single" w:sz="8" w:space="0" w:color="auto"/>
            </w:tcBorders>
            <w:shd w:val="clear" w:color="auto" w:fill="auto"/>
            <w:noWrap/>
            <w:vAlign w:val="bottom"/>
            <w:hideMark/>
          </w:tcPr>
          <w:p w14:paraId="64A1B23D"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 </w:t>
            </w:r>
          </w:p>
        </w:tc>
      </w:tr>
      <w:tr w:rsidR="002C403D" w:rsidRPr="00E377CE" w14:paraId="57C6CDEE" w14:textId="77777777" w:rsidTr="001C4A0B">
        <w:trPr>
          <w:trHeight w:val="315"/>
        </w:trPr>
        <w:tc>
          <w:tcPr>
            <w:tcW w:w="4320" w:type="dxa"/>
            <w:tcBorders>
              <w:top w:val="nil"/>
              <w:left w:val="single" w:sz="8" w:space="0" w:color="auto"/>
              <w:bottom w:val="nil"/>
              <w:right w:val="nil"/>
            </w:tcBorders>
            <w:shd w:val="clear" w:color="auto" w:fill="auto"/>
            <w:noWrap/>
            <w:vAlign w:val="center"/>
            <w:hideMark/>
          </w:tcPr>
          <w:p w14:paraId="678D0BA1" w14:textId="77777777" w:rsidR="002C403D" w:rsidRPr="00E377CE" w:rsidRDefault="002C403D" w:rsidP="001C4A0B">
            <w:pPr>
              <w:ind w:firstLineChars="200" w:firstLine="360"/>
              <w:rPr>
                <w:rFonts w:ascii="Calibri" w:hAnsi="Calibri" w:cs="Calibri"/>
                <w:color w:val="000000"/>
                <w:sz w:val="18"/>
                <w:szCs w:val="18"/>
              </w:rPr>
            </w:pPr>
            <w:r w:rsidRPr="00E377CE">
              <w:rPr>
                <w:rFonts w:ascii="Calibri" w:hAnsi="Calibri" w:cs="Calibri"/>
                <w:color w:val="000000"/>
                <w:sz w:val="18"/>
                <w:szCs w:val="18"/>
              </w:rPr>
              <w:t>Male</w:t>
            </w:r>
          </w:p>
        </w:tc>
        <w:tc>
          <w:tcPr>
            <w:tcW w:w="1170" w:type="dxa"/>
            <w:tcBorders>
              <w:top w:val="nil"/>
              <w:left w:val="nil"/>
              <w:bottom w:val="nil"/>
              <w:right w:val="nil"/>
            </w:tcBorders>
            <w:shd w:val="clear" w:color="auto" w:fill="auto"/>
            <w:noWrap/>
            <w:vAlign w:val="bottom"/>
            <w:hideMark/>
          </w:tcPr>
          <w:p w14:paraId="29040EE9"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ref</w:t>
            </w:r>
          </w:p>
        </w:tc>
        <w:tc>
          <w:tcPr>
            <w:tcW w:w="1260" w:type="dxa"/>
            <w:tcBorders>
              <w:top w:val="nil"/>
              <w:left w:val="nil"/>
              <w:bottom w:val="nil"/>
              <w:right w:val="nil"/>
            </w:tcBorders>
            <w:shd w:val="clear" w:color="auto" w:fill="auto"/>
            <w:noWrap/>
            <w:vAlign w:val="bottom"/>
            <w:hideMark/>
          </w:tcPr>
          <w:p w14:paraId="1BBCB7F2" w14:textId="77777777" w:rsidR="002C403D" w:rsidRPr="00E377CE" w:rsidRDefault="002C403D" w:rsidP="001C4A0B">
            <w:pPr>
              <w:jc w:val="center"/>
              <w:rPr>
                <w:rFonts w:ascii="Calibri" w:hAnsi="Calibri" w:cs="Calibri"/>
                <w:color w:val="000000"/>
                <w:sz w:val="18"/>
                <w:szCs w:val="18"/>
              </w:rPr>
            </w:pPr>
          </w:p>
        </w:tc>
        <w:tc>
          <w:tcPr>
            <w:tcW w:w="1080" w:type="dxa"/>
            <w:tcBorders>
              <w:top w:val="nil"/>
              <w:left w:val="nil"/>
              <w:bottom w:val="nil"/>
              <w:right w:val="nil"/>
            </w:tcBorders>
            <w:shd w:val="clear" w:color="auto" w:fill="auto"/>
            <w:noWrap/>
            <w:vAlign w:val="bottom"/>
            <w:hideMark/>
          </w:tcPr>
          <w:p w14:paraId="31E97457" w14:textId="77777777" w:rsidR="002C403D" w:rsidRPr="00E377CE" w:rsidRDefault="002C403D" w:rsidP="001C4A0B">
            <w:pPr>
              <w:jc w:val="center"/>
              <w:rPr>
                <w:sz w:val="18"/>
                <w:szCs w:val="18"/>
              </w:rPr>
            </w:pPr>
          </w:p>
        </w:tc>
        <w:tc>
          <w:tcPr>
            <w:tcW w:w="810" w:type="dxa"/>
            <w:tcBorders>
              <w:top w:val="nil"/>
              <w:left w:val="nil"/>
              <w:bottom w:val="nil"/>
              <w:right w:val="nil"/>
            </w:tcBorders>
            <w:shd w:val="clear" w:color="auto" w:fill="auto"/>
            <w:noWrap/>
            <w:vAlign w:val="bottom"/>
            <w:hideMark/>
          </w:tcPr>
          <w:p w14:paraId="6420F4A3"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ref</w:t>
            </w:r>
          </w:p>
        </w:tc>
        <w:tc>
          <w:tcPr>
            <w:tcW w:w="1170" w:type="dxa"/>
            <w:tcBorders>
              <w:top w:val="nil"/>
              <w:left w:val="nil"/>
              <w:bottom w:val="nil"/>
              <w:right w:val="nil"/>
            </w:tcBorders>
            <w:shd w:val="clear" w:color="auto" w:fill="auto"/>
            <w:noWrap/>
            <w:vAlign w:val="bottom"/>
            <w:hideMark/>
          </w:tcPr>
          <w:p w14:paraId="5F55F28C" w14:textId="77777777" w:rsidR="002C403D" w:rsidRPr="00E377CE" w:rsidRDefault="002C403D" w:rsidP="001C4A0B">
            <w:pPr>
              <w:jc w:val="center"/>
              <w:rPr>
                <w:rFonts w:ascii="Calibri" w:hAnsi="Calibri" w:cs="Calibri"/>
                <w:color w:val="000000"/>
                <w:sz w:val="18"/>
                <w:szCs w:val="18"/>
              </w:rPr>
            </w:pPr>
          </w:p>
        </w:tc>
        <w:tc>
          <w:tcPr>
            <w:tcW w:w="900" w:type="dxa"/>
            <w:tcBorders>
              <w:top w:val="nil"/>
              <w:left w:val="nil"/>
              <w:bottom w:val="nil"/>
              <w:right w:val="single" w:sz="8" w:space="0" w:color="auto"/>
            </w:tcBorders>
            <w:shd w:val="clear" w:color="auto" w:fill="auto"/>
            <w:noWrap/>
            <w:vAlign w:val="bottom"/>
            <w:hideMark/>
          </w:tcPr>
          <w:p w14:paraId="7F46BCD2"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 </w:t>
            </w:r>
          </w:p>
        </w:tc>
      </w:tr>
      <w:tr w:rsidR="002C403D" w:rsidRPr="00E377CE" w14:paraId="288E2693" w14:textId="77777777" w:rsidTr="001C4A0B">
        <w:trPr>
          <w:trHeight w:val="315"/>
        </w:trPr>
        <w:tc>
          <w:tcPr>
            <w:tcW w:w="4320" w:type="dxa"/>
            <w:tcBorders>
              <w:top w:val="nil"/>
              <w:left w:val="single" w:sz="8" w:space="0" w:color="auto"/>
              <w:bottom w:val="nil"/>
              <w:right w:val="nil"/>
            </w:tcBorders>
            <w:shd w:val="clear" w:color="auto" w:fill="auto"/>
            <w:noWrap/>
            <w:vAlign w:val="center"/>
            <w:hideMark/>
          </w:tcPr>
          <w:p w14:paraId="00D7173B" w14:textId="77777777" w:rsidR="002C403D" w:rsidRPr="00E377CE" w:rsidRDefault="002C403D" w:rsidP="001C4A0B">
            <w:pPr>
              <w:ind w:firstLineChars="200" w:firstLine="360"/>
              <w:rPr>
                <w:rFonts w:ascii="Calibri" w:hAnsi="Calibri" w:cs="Calibri"/>
                <w:color w:val="000000"/>
                <w:sz w:val="18"/>
                <w:szCs w:val="18"/>
              </w:rPr>
            </w:pPr>
            <w:r w:rsidRPr="00E377CE">
              <w:rPr>
                <w:rFonts w:ascii="Calibri" w:hAnsi="Calibri" w:cs="Calibri"/>
                <w:color w:val="000000"/>
                <w:sz w:val="18"/>
                <w:szCs w:val="18"/>
              </w:rPr>
              <w:t>Female</w:t>
            </w:r>
          </w:p>
        </w:tc>
        <w:tc>
          <w:tcPr>
            <w:tcW w:w="1170" w:type="dxa"/>
            <w:tcBorders>
              <w:top w:val="nil"/>
              <w:left w:val="nil"/>
              <w:bottom w:val="nil"/>
              <w:right w:val="nil"/>
            </w:tcBorders>
            <w:shd w:val="clear" w:color="auto" w:fill="auto"/>
            <w:noWrap/>
            <w:vAlign w:val="bottom"/>
            <w:hideMark/>
          </w:tcPr>
          <w:p w14:paraId="56A2D7E6"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1.83</w:t>
            </w:r>
          </w:p>
        </w:tc>
        <w:tc>
          <w:tcPr>
            <w:tcW w:w="1260" w:type="dxa"/>
            <w:tcBorders>
              <w:top w:val="nil"/>
              <w:left w:val="nil"/>
              <w:bottom w:val="nil"/>
              <w:right w:val="nil"/>
            </w:tcBorders>
            <w:shd w:val="clear" w:color="auto" w:fill="auto"/>
            <w:noWrap/>
            <w:vAlign w:val="bottom"/>
            <w:hideMark/>
          </w:tcPr>
          <w:p w14:paraId="40416580"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1.15 - 2.91</w:t>
            </w:r>
          </w:p>
        </w:tc>
        <w:tc>
          <w:tcPr>
            <w:tcW w:w="1080" w:type="dxa"/>
            <w:tcBorders>
              <w:top w:val="nil"/>
              <w:left w:val="nil"/>
              <w:bottom w:val="nil"/>
              <w:right w:val="nil"/>
            </w:tcBorders>
            <w:shd w:val="clear" w:color="auto" w:fill="auto"/>
            <w:noWrap/>
            <w:vAlign w:val="bottom"/>
            <w:hideMark/>
          </w:tcPr>
          <w:p w14:paraId="27DFC7BA" w14:textId="77777777" w:rsidR="002C403D" w:rsidRPr="00E377CE" w:rsidRDefault="002C403D" w:rsidP="001C4A0B">
            <w:pPr>
              <w:jc w:val="center"/>
              <w:rPr>
                <w:rFonts w:ascii="Calibri" w:hAnsi="Calibri" w:cs="Calibri"/>
                <w:b/>
                <w:bCs/>
                <w:color w:val="000000"/>
                <w:sz w:val="18"/>
                <w:szCs w:val="18"/>
              </w:rPr>
            </w:pPr>
            <w:r w:rsidRPr="00E377CE">
              <w:rPr>
                <w:rFonts w:ascii="Calibri" w:hAnsi="Calibri" w:cs="Calibri"/>
                <w:b/>
                <w:bCs/>
                <w:color w:val="000000"/>
                <w:sz w:val="18"/>
                <w:szCs w:val="18"/>
              </w:rPr>
              <w:t>0.011</w:t>
            </w:r>
          </w:p>
        </w:tc>
        <w:tc>
          <w:tcPr>
            <w:tcW w:w="810" w:type="dxa"/>
            <w:tcBorders>
              <w:top w:val="nil"/>
              <w:left w:val="nil"/>
              <w:bottom w:val="nil"/>
              <w:right w:val="nil"/>
            </w:tcBorders>
            <w:shd w:val="clear" w:color="auto" w:fill="auto"/>
            <w:noWrap/>
            <w:vAlign w:val="bottom"/>
            <w:hideMark/>
          </w:tcPr>
          <w:p w14:paraId="4EFDF772"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1.68</w:t>
            </w:r>
          </w:p>
        </w:tc>
        <w:tc>
          <w:tcPr>
            <w:tcW w:w="1170" w:type="dxa"/>
            <w:tcBorders>
              <w:top w:val="nil"/>
              <w:left w:val="nil"/>
              <w:bottom w:val="nil"/>
              <w:right w:val="nil"/>
            </w:tcBorders>
            <w:shd w:val="clear" w:color="auto" w:fill="auto"/>
            <w:noWrap/>
            <w:vAlign w:val="bottom"/>
            <w:hideMark/>
          </w:tcPr>
          <w:p w14:paraId="000AB832"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0.99 - 2.87</w:t>
            </w:r>
          </w:p>
        </w:tc>
        <w:tc>
          <w:tcPr>
            <w:tcW w:w="900" w:type="dxa"/>
            <w:tcBorders>
              <w:top w:val="nil"/>
              <w:left w:val="nil"/>
              <w:bottom w:val="nil"/>
              <w:right w:val="single" w:sz="8" w:space="0" w:color="auto"/>
            </w:tcBorders>
            <w:shd w:val="clear" w:color="auto" w:fill="auto"/>
            <w:noWrap/>
            <w:vAlign w:val="bottom"/>
            <w:hideMark/>
          </w:tcPr>
          <w:p w14:paraId="3648F93B"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0.055</w:t>
            </w:r>
          </w:p>
        </w:tc>
      </w:tr>
      <w:tr w:rsidR="002C403D" w:rsidRPr="00E377CE" w14:paraId="35A950F5" w14:textId="77777777" w:rsidTr="001C4A0B">
        <w:trPr>
          <w:trHeight w:val="315"/>
        </w:trPr>
        <w:tc>
          <w:tcPr>
            <w:tcW w:w="4320" w:type="dxa"/>
            <w:tcBorders>
              <w:top w:val="nil"/>
              <w:left w:val="single" w:sz="8" w:space="0" w:color="auto"/>
              <w:bottom w:val="nil"/>
              <w:right w:val="nil"/>
            </w:tcBorders>
            <w:shd w:val="clear" w:color="auto" w:fill="auto"/>
            <w:noWrap/>
            <w:vAlign w:val="center"/>
            <w:hideMark/>
          </w:tcPr>
          <w:p w14:paraId="706AAA38" w14:textId="77777777" w:rsidR="002C403D" w:rsidRPr="00E377CE" w:rsidRDefault="002C403D" w:rsidP="001C4A0B">
            <w:pPr>
              <w:rPr>
                <w:rFonts w:ascii="Calibri" w:hAnsi="Calibri" w:cs="Calibri"/>
                <w:color w:val="000000"/>
                <w:sz w:val="18"/>
                <w:szCs w:val="18"/>
              </w:rPr>
            </w:pPr>
            <w:r w:rsidRPr="00E377CE">
              <w:rPr>
                <w:rFonts w:ascii="Calibri" w:hAnsi="Calibri" w:cs="Calibri"/>
                <w:color w:val="000000"/>
                <w:sz w:val="18"/>
                <w:szCs w:val="18"/>
              </w:rPr>
              <w:t>Race/ethnicity</w:t>
            </w:r>
          </w:p>
        </w:tc>
        <w:tc>
          <w:tcPr>
            <w:tcW w:w="1170" w:type="dxa"/>
            <w:tcBorders>
              <w:top w:val="nil"/>
              <w:left w:val="nil"/>
              <w:bottom w:val="nil"/>
              <w:right w:val="nil"/>
            </w:tcBorders>
            <w:shd w:val="clear" w:color="auto" w:fill="auto"/>
            <w:noWrap/>
            <w:vAlign w:val="bottom"/>
            <w:hideMark/>
          </w:tcPr>
          <w:p w14:paraId="471117DC" w14:textId="77777777" w:rsidR="002C403D" w:rsidRPr="00E377CE" w:rsidRDefault="002C403D" w:rsidP="001C4A0B">
            <w:pPr>
              <w:rPr>
                <w:rFonts w:ascii="Calibri" w:hAnsi="Calibri" w:cs="Calibri"/>
                <w:color w:val="000000"/>
                <w:sz w:val="18"/>
                <w:szCs w:val="18"/>
              </w:rPr>
            </w:pPr>
          </w:p>
        </w:tc>
        <w:tc>
          <w:tcPr>
            <w:tcW w:w="1260" w:type="dxa"/>
            <w:tcBorders>
              <w:top w:val="nil"/>
              <w:left w:val="nil"/>
              <w:bottom w:val="nil"/>
              <w:right w:val="nil"/>
            </w:tcBorders>
            <w:shd w:val="clear" w:color="auto" w:fill="auto"/>
            <w:noWrap/>
            <w:vAlign w:val="bottom"/>
            <w:hideMark/>
          </w:tcPr>
          <w:p w14:paraId="75CD33F3" w14:textId="77777777" w:rsidR="002C403D" w:rsidRPr="00E377CE" w:rsidRDefault="002C403D" w:rsidP="001C4A0B">
            <w:pPr>
              <w:jc w:val="center"/>
              <w:rPr>
                <w:sz w:val="18"/>
                <w:szCs w:val="18"/>
              </w:rPr>
            </w:pPr>
          </w:p>
        </w:tc>
        <w:tc>
          <w:tcPr>
            <w:tcW w:w="1080" w:type="dxa"/>
            <w:tcBorders>
              <w:top w:val="nil"/>
              <w:left w:val="nil"/>
              <w:bottom w:val="nil"/>
              <w:right w:val="nil"/>
            </w:tcBorders>
            <w:shd w:val="clear" w:color="auto" w:fill="auto"/>
            <w:noWrap/>
            <w:vAlign w:val="bottom"/>
            <w:hideMark/>
          </w:tcPr>
          <w:p w14:paraId="5C4EFA18" w14:textId="77777777" w:rsidR="002C403D" w:rsidRPr="00E377CE" w:rsidRDefault="002C403D" w:rsidP="001C4A0B">
            <w:pPr>
              <w:jc w:val="center"/>
              <w:rPr>
                <w:sz w:val="18"/>
                <w:szCs w:val="18"/>
              </w:rPr>
            </w:pPr>
          </w:p>
        </w:tc>
        <w:tc>
          <w:tcPr>
            <w:tcW w:w="810" w:type="dxa"/>
            <w:tcBorders>
              <w:top w:val="nil"/>
              <w:left w:val="nil"/>
              <w:bottom w:val="nil"/>
              <w:right w:val="nil"/>
            </w:tcBorders>
            <w:shd w:val="clear" w:color="auto" w:fill="auto"/>
            <w:noWrap/>
            <w:vAlign w:val="bottom"/>
            <w:hideMark/>
          </w:tcPr>
          <w:p w14:paraId="5CDD5EA2" w14:textId="77777777" w:rsidR="002C403D" w:rsidRPr="00E377CE" w:rsidRDefault="002C403D" w:rsidP="001C4A0B">
            <w:pPr>
              <w:jc w:val="center"/>
              <w:rPr>
                <w:sz w:val="18"/>
                <w:szCs w:val="18"/>
              </w:rPr>
            </w:pPr>
          </w:p>
        </w:tc>
        <w:tc>
          <w:tcPr>
            <w:tcW w:w="1170" w:type="dxa"/>
            <w:tcBorders>
              <w:top w:val="nil"/>
              <w:left w:val="nil"/>
              <w:bottom w:val="nil"/>
              <w:right w:val="nil"/>
            </w:tcBorders>
            <w:shd w:val="clear" w:color="auto" w:fill="auto"/>
            <w:noWrap/>
            <w:vAlign w:val="bottom"/>
            <w:hideMark/>
          </w:tcPr>
          <w:p w14:paraId="3384469E" w14:textId="77777777" w:rsidR="002C403D" w:rsidRPr="00E377CE" w:rsidRDefault="002C403D" w:rsidP="001C4A0B">
            <w:pPr>
              <w:jc w:val="center"/>
              <w:rPr>
                <w:sz w:val="18"/>
                <w:szCs w:val="18"/>
              </w:rPr>
            </w:pPr>
          </w:p>
        </w:tc>
        <w:tc>
          <w:tcPr>
            <w:tcW w:w="900" w:type="dxa"/>
            <w:tcBorders>
              <w:top w:val="nil"/>
              <w:left w:val="nil"/>
              <w:bottom w:val="nil"/>
              <w:right w:val="single" w:sz="8" w:space="0" w:color="auto"/>
            </w:tcBorders>
            <w:shd w:val="clear" w:color="auto" w:fill="auto"/>
            <w:noWrap/>
            <w:vAlign w:val="bottom"/>
            <w:hideMark/>
          </w:tcPr>
          <w:p w14:paraId="7495E619"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 </w:t>
            </w:r>
          </w:p>
        </w:tc>
      </w:tr>
      <w:tr w:rsidR="002C403D" w:rsidRPr="00E377CE" w14:paraId="54295D51" w14:textId="77777777" w:rsidTr="001C4A0B">
        <w:trPr>
          <w:trHeight w:val="315"/>
        </w:trPr>
        <w:tc>
          <w:tcPr>
            <w:tcW w:w="4320" w:type="dxa"/>
            <w:tcBorders>
              <w:top w:val="nil"/>
              <w:left w:val="single" w:sz="8" w:space="0" w:color="auto"/>
              <w:bottom w:val="nil"/>
              <w:right w:val="nil"/>
            </w:tcBorders>
            <w:shd w:val="clear" w:color="auto" w:fill="auto"/>
            <w:noWrap/>
            <w:vAlign w:val="center"/>
            <w:hideMark/>
          </w:tcPr>
          <w:p w14:paraId="3B9394DB" w14:textId="77777777" w:rsidR="002C403D" w:rsidRPr="00E377CE" w:rsidRDefault="002C403D" w:rsidP="001C4A0B">
            <w:pPr>
              <w:ind w:firstLineChars="200" w:firstLine="360"/>
              <w:rPr>
                <w:rFonts w:ascii="Calibri" w:hAnsi="Calibri" w:cs="Calibri"/>
                <w:color w:val="000000"/>
                <w:sz w:val="18"/>
                <w:szCs w:val="18"/>
              </w:rPr>
            </w:pPr>
            <w:r w:rsidRPr="00E377CE">
              <w:rPr>
                <w:rFonts w:ascii="Calibri" w:hAnsi="Calibri" w:cs="Calibri"/>
                <w:color w:val="000000"/>
                <w:sz w:val="18"/>
                <w:szCs w:val="18"/>
              </w:rPr>
              <w:t>White, single race</w:t>
            </w:r>
          </w:p>
        </w:tc>
        <w:tc>
          <w:tcPr>
            <w:tcW w:w="1170" w:type="dxa"/>
            <w:tcBorders>
              <w:top w:val="nil"/>
              <w:left w:val="nil"/>
              <w:bottom w:val="nil"/>
              <w:right w:val="nil"/>
            </w:tcBorders>
            <w:shd w:val="clear" w:color="auto" w:fill="auto"/>
            <w:noWrap/>
            <w:vAlign w:val="bottom"/>
            <w:hideMark/>
          </w:tcPr>
          <w:p w14:paraId="27C264D6"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ref</w:t>
            </w:r>
          </w:p>
        </w:tc>
        <w:tc>
          <w:tcPr>
            <w:tcW w:w="1260" w:type="dxa"/>
            <w:tcBorders>
              <w:top w:val="nil"/>
              <w:left w:val="nil"/>
              <w:bottom w:val="nil"/>
              <w:right w:val="nil"/>
            </w:tcBorders>
            <w:shd w:val="clear" w:color="auto" w:fill="auto"/>
            <w:noWrap/>
            <w:vAlign w:val="bottom"/>
            <w:hideMark/>
          </w:tcPr>
          <w:p w14:paraId="67A31FF6" w14:textId="77777777" w:rsidR="002C403D" w:rsidRPr="00E377CE" w:rsidRDefault="002C403D" w:rsidP="001C4A0B">
            <w:pPr>
              <w:jc w:val="center"/>
              <w:rPr>
                <w:rFonts w:ascii="Calibri" w:hAnsi="Calibri" w:cs="Calibri"/>
                <w:color w:val="000000"/>
                <w:sz w:val="18"/>
                <w:szCs w:val="18"/>
              </w:rPr>
            </w:pPr>
          </w:p>
        </w:tc>
        <w:tc>
          <w:tcPr>
            <w:tcW w:w="1080" w:type="dxa"/>
            <w:tcBorders>
              <w:top w:val="nil"/>
              <w:left w:val="nil"/>
              <w:bottom w:val="nil"/>
              <w:right w:val="nil"/>
            </w:tcBorders>
            <w:shd w:val="clear" w:color="auto" w:fill="auto"/>
            <w:noWrap/>
            <w:vAlign w:val="bottom"/>
            <w:hideMark/>
          </w:tcPr>
          <w:p w14:paraId="780DFF60" w14:textId="77777777" w:rsidR="002C403D" w:rsidRPr="00E377CE" w:rsidRDefault="002C403D" w:rsidP="001C4A0B">
            <w:pPr>
              <w:jc w:val="center"/>
              <w:rPr>
                <w:sz w:val="18"/>
                <w:szCs w:val="18"/>
              </w:rPr>
            </w:pPr>
          </w:p>
        </w:tc>
        <w:tc>
          <w:tcPr>
            <w:tcW w:w="810" w:type="dxa"/>
            <w:tcBorders>
              <w:top w:val="nil"/>
              <w:left w:val="nil"/>
              <w:bottom w:val="nil"/>
              <w:right w:val="nil"/>
            </w:tcBorders>
            <w:shd w:val="clear" w:color="auto" w:fill="auto"/>
            <w:noWrap/>
            <w:vAlign w:val="bottom"/>
            <w:hideMark/>
          </w:tcPr>
          <w:p w14:paraId="4C0AEC00"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ref</w:t>
            </w:r>
          </w:p>
        </w:tc>
        <w:tc>
          <w:tcPr>
            <w:tcW w:w="1170" w:type="dxa"/>
            <w:tcBorders>
              <w:top w:val="nil"/>
              <w:left w:val="nil"/>
              <w:bottom w:val="nil"/>
              <w:right w:val="nil"/>
            </w:tcBorders>
            <w:shd w:val="clear" w:color="auto" w:fill="auto"/>
            <w:noWrap/>
            <w:vAlign w:val="bottom"/>
            <w:hideMark/>
          </w:tcPr>
          <w:p w14:paraId="5A0CAC04" w14:textId="77777777" w:rsidR="002C403D" w:rsidRPr="00E377CE" w:rsidRDefault="002C403D" w:rsidP="001C4A0B">
            <w:pPr>
              <w:jc w:val="center"/>
              <w:rPr>
                <w:rFonts w:ascii="Calibri" w:hAnsi="Calibri" w:cs="Calibri"/>
                <w:color w:val="000000"/>
                <w:sz w:val="18"/>
                <w:szCs w:val="18"/>
              </w:rPr>
            </w:pPr>
          </w:p>
        </w:tc>
        <w:tc>
          <w:tcPr>
            <w:tcW w:w="900" w:type="dxa"/>
            <w:tcBorders>
              <w:top w:val="nil"/>
              <w:left w:val="nil"/>
              <w:bottom w:val="nil"/>
              <w:right w:val="single" w:sz="8" w:space="0" w:color="auto"/>
            </w:tcBorders>
            <w:shd w:val="clear" w:color="auto" w:fill="auto"/>
            <w:noWrap/>
            <w:vAlign w:val="bottom"/>
            <w:hideMark/>
          </w:tcPr>
          <w:p w14:paraId="3330047F"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 </w:t>
            </w:r>
          </w:p>
        </w:tc>
      </w:tr>
      <w:tr w:rsidR="002C403D" w:rsidRPr="00E377CE" w14:paraId="3A0EBEFD" w14:textId="77777777" w:rsidTr="001C4A0B">
        <w:trPr>
          <w:trHeight w:val="315"/>
        </w:trPr>
        <w:tc>
          <w:tcPr>
            <w:tcW w:w="4320" w:type="dxa"/>
            <w:tcBorders>
              <w:top w:val="nil"/>
              <w:left w:val="single" w:sz="8" w:space="0" w:color="auto"/>
              <w:bottom w:val="nil"/>
              <w:right w:val="nil"/>
            </w:tcBorders>
            <w:shd w:val="clear" w:color="auto" w:fill="auto"/>
            <w:noWrap/>
            <w:vAlign w:val="center"/>
            <w:hideMark/>
          </w:tcPr>
          <w:p w14:paraId="51EDDCD1" w14:textId="77777777" w:rsidR="002C403D" w:rsidRPr="00E377CE" w:rsidRDefault="002C403D" w:rsidP="001C4A0B">
            <w:pPr>
              <w:ind w:firstLineChars="200" w:firstLine="360"/>
              <w:rPr>
                <w:rFonts w:ascii="Calibri" w:hAnsi="Calibri" w:cs="Calibri"/>
                <w:color w:val="000000"/>
                <w:sz w:val="18"/>
                <w:szCs w:val="18"/>
              </w:rPr>
            </w:pPr>
            <w:r w:rsidRPr="00E377CE">
              <w:rPr>
                <w:rFonts w:ascii="Calibri" w:hAnsi="Calibri" w:cs="Calibri"/>
                <w:color w:val="000000"/>
                <w:sz w:val="18"/>
                <w:szCs w:val="18"/>
              </w:rPr>
              <w:t>Black, single race</w:t>
            </w:r>
          </w:p>
        </w:tc>
        <w:tc>
          <w:tcPr>
            <w:tcW w:w="1170" w:type="dxa"/>
            <w:tcBorders>
              <w:top w:val="nil"/>
              <w:left w:val="nil"/>
              <w:bottom w:val="nil"/>
              <w:right w:val="nil"/>
            </w:tcBorders>
            <w:shd w:val="clear" w:color="auto" w:fill="auto"/>
            <w:noWrap/>
            <w:vAlign w:val="bottom"/>
            <w:hideMark/>
          </w:tcPr>
          <w:p w14:paraId="2D3D2973"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0.52</w:t>
            </w:r>
          </w:p>
        </w:tc>
        <w:tc>
          <w:tcPr>
            <w:tcW w:w="1260" w:type="dxa"/>
            <w:tcBorders>
              <w:top w:val="nil"/>
              <w:left w:val="nil"/>
              <w:bottom w:val="nil"/>
              <w:right w:val="nil"/>
            </w:tcBorders>
            <w:shd w:val="clear" w:color="auto" w:fill="auto"/>
            <w:noWrap/>
            <w:vAlign w:val="bottom"/>
            <w:hideMark/>
          </w:tcPr>
          <w:p w14:paraId="1E6BED5B"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0.29 - 0.94</w:t>
            </w:r>
          </w:p>
        </w:tc>
        <w:tc>
          <w:tcPr>
            <w:tcW w:w="1080" w:type="dxa"/>
            <w:tcBorders>
              <w:top w:val="nil"/>
              <w:left w:val="nil"/>
              <w:bottom w:val="nil"/>
              <w:right w:val="nil"/>
            </w:tcBorders>
            <w:shd w:val="clear" w:color="auto" w:fill="auto"/>
            <w:noWrap/>
            <w:vAlign w:val="bottom"/>
            <w:hideMark/>
          </w:tcPr>
          <w:p w14:paraId="2D7D87F6" w14:textId="77777777" w:rsidR="002C403D" w:rsidRPr="00E377CE" w:rsidRDefault="002C403D" w:rsidP="001C4A0B">
            <w:pPr>
              <w:jc w:val="center"/>
              <w:rPr>
                <w:rFonts w:ascii="Calibri" w:hAnsi="Calibri" w:cs="Calibri"/>
                <w:b/>
                <w:bCs/>
                <w:color w:val="000000"/>
                <w:sz w:val="18"/>
                <w:szCs w:val="18"/>
              </w:rPr>
            </w:pPr>
            <w:r w:rsidRPr="00E377CE">
              <w:rPr>
                <w:rFonts w:ascii="Calibri" w:hAnsi="Calibri" w:cs="Calibri"/>
                <w:b/>
                <w:bCs/>
                <w:color w:val="000000"/>
                <w:sz w:val="18"/>
                <w:szCs w:val="18"/>
              </w:rPr>
              <w:t>0.030</w:t>
            </w:r>
          </w:p>
        </w:tc>
        <w:tc>
          <w:tcPr>
            <w:tcW w:w="810" w:type="dxa"/>
            <w:tcBorders>
              <w:top w:val="nil"/>
              <w:left w:val="nil"/>
              <w:bottom w:val="nil"/>
              <w:right w:val="nil"/>
            </w:tcBorders>
            <w:shd w:val="clear" w:color="auto" w:fill="auto"/>
            <w:noWrap/>
            <w:vAlign w:val="bottom"/>
            <w:hideMark/>
          </w:tcPr>
          <w:p w14:paraId="43D5C248"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0.38</w:t>
            </w:r>
          </w:p>
        </w:tc>
        <w:tc>
          <w:tcPr>
            <w:tcW w:w="1170" w:type="dxa"/>
            <w:tcBorders>
              <w:top w:val="nil"/>
              <w:left w:val="nil"/>
              <w:bottom w:val="nil"/>
              <w:right w:val="nil"/>
            </w:tcBorders>
            <w:shd w:val="clear" w:color="auto" w:fill="auto"/>
            <w:noWrap/>
            <w:vAlign w:val="bottom"/>
            <w:hideMark/>
          </w:tcPr>
          <w:p w14:paraId="7A8B1CCB"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0.18 - 0.81</w:t>
            </w:r>
          </w:p>
        </w:tc>
        <w:tc>
          <w:tcPr>
            <w:tcW w:w="900" w:type="dxa"/>
            <w:tcBorders>
              <w:top w:val="nil"/>
              <w:left w:val="nil"/>
              <w:bottom w:val="nil"/>
              <w:right w:val="single" w:sz="8" w:space="0" w:color="auto"/>
            </w:tcBorders>
            <w:shd w:val="clear" w:color="auto" w:fill="auto"/>
            <w:noWrap/>
            <w:vAlign w:val="bottom"/>
            <w:hideMark/>
          </w:tcPr>
          <w:p w14:paraId="45DC9361" w14:textId="77777777" w:rsidR="002C403D" w:rsidRPr="00E377CE" w:rsidRDefault="002C403D" w:rsidP="001C4A0B">
            <w:pPr>
              <w:jc w:val="center"/>
              <w:rPr>
                <w:rFonts w:ascii="Calibri" w:hAnsi="Calibri" w:cs="Calibri"/>
                <w:b/>
                <w:bCs/>
                <w:color w:val="000000"/>
                <w:sz w:val="18"/>
                <w:szCs w:val="18"/>
              </w:rPr>
            </w:pPr>
            <w:r w:rsidRPr="00E377CE">
              <w:rPr>
                <w:rFonts w:ascii="Calibri" w:hAnsi="Calibri" w:cs="Calibri"/>
                <w:b/>
                <w:bCs/>
                <w:color w:val="000000"/>
                <w:sz w:val="18"/>
                <w:szCs w:val="18"/>
              </w:rPr>
              <w:t>0.012</w:t>
            </w:r>
          </w:p>
        </w:tc>
      </w:tr>
      <w:tr w:rsidR="002C403D" w:rsidRPr="00E377CE" w14:paraId="0317E0EE" w14:textId="77777777" w:rsidTr="001C4A0B">
        <w:trPr>
          <w:trHeight w:val="315"/>
        </w:trPr>
        <w:tc>
          <w:tcPr>
            <w:tcW w:w="4320" w:type="dxa"/>
            <w:tcBorders>
              <w:top w:val="nil"/>
              <w:left w:val="single" w:sz="8" w:space="0" w:color="auto"/>
              <w:bottom w:val="nil"/>
              <w:right w:val="nil"/>
            </w:tcBorders>
            <w:shd w:val="clear" w:color="auto" w:fill="auto"/>
            <w:noWrap/>
            <w:vAlign w:val="center"/>
            <w:hideMark/>
          </w:tcPr>
          <w:p w14:paraId="62C1C613" w14:textId="06423878" w:rsidR="002C403D" w:rsidRPr="00E377CE" w:rsidRDefault="002C403D" w:rsidP="001C4A0B">
            <w:pPr>
              <w:ind w:firstLineChars="200" w:firstLine="360"/>
              <w:rPr>
                <w:rFonts w:ascii="Calibri" w:hAnsi="Calibri" w:cs="Calibri"/>
                <w:color w:val="000000"/>
                <w:sz w:val="18"/>
                <w:szCs w:val="18"/>
              </w:rPr>
            </w:pPr>
            <w:r w:rsidRPr="00E377CE">
              <w:rPr>
                <w:rFonts w:ascii="Calibri" w:hAnsi="Calibri" w:cs="Calibri"/>
                <w:color w:val="000000"/>
                <w:sz w:val="18"/>
                <w:szCs w:val="18"/>
              </w:rPr>
              <w:t xml:space="preserve">Hispanic, Native American/Alaskan, multiracial       </w:t>
            </w:r>
          </w:p>
        </w:tc>
        <w:tc>
          <w:tcPr>
            <w:tcW w:w="1170" w:type="dxa"/>
            <w:tcBorders>
              <w:top w:val="nil"/>
              <w:left w:val="nil"/>
              <w:bottom w:val="nil"/>
              <w:right w:val="nil"/>
            </w:tcBorders>
            <w:shd w:val="clear" w:color="auto" w:fill="auto"/>
            <w:noWrap/>
            <w:vAlign w:val="bottom"/>
            <w:hideMark/>
          </w:tcPr>
          <w:p w14:paraId="3ED8C2C2"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0.80</w:t>
            </w:r>
          </w:p>
        </w:tc>
        <w:tc>
          <w:tcPr>
            <w:tcW w:w="1260" w:type="dxa"/>
            <w:tcBorders>
              <w:top w:val="nil"/>
              <w:left w:val="nil"/>
              <w:bottom w:val="nil"/>
              <w:right w:val="nil"/>
            </w:tcBorders>
            <w:shd w:val="clear" w:color="auto" w:fill="auto"/>
            <w:noWrap/>
            <w:vAlign w:val="bottom"/>
            <w:hideMark/>
          </w:tcPr>
          <w:p w14:paraId="1CB46FFC"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0.35 - 1.86</w:t>
            </w:r>
          </w:p>
        </w:tc>
        <w:tc>
          <w:tcPr>
            <w:tcW w:w="1080" w:type="dxa"/>
            <w:tcBorders>
              <w:top w:val="nil"/>
              <w:left w:val="nil"/>
              <w:bottom w:val="nil"/>
              <w:right w:val="nil"/>
            </w:tcBorders>
            <w:shd w:val="clear" w:color="auto" w:fill="auto"/>
            <w:noWrap/>
            <w:vAlign w:val="bottom"/>
            <w:hideMark/>
          </w:tcPr>
          <w:p w14:paraId="5138D26A"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0.611</w:t>
            </w:r>
          </w:p>
        </w:tc>
        <w:tc>
          <w:tcPr>
            <w:tcW w:w="810" w:type="dxa"/>
            <w:tcBorders>
              <w:top w:val="nil"/>
              <w:left w:val="nil"/>
              <w:bottom w:val="nil"/>
              <w:right w:val="nil"/>
            </w:tcBorders>
            <w:shd w:val="clear" w:color="auto" w:fill="auto"/>
            <w:noWrap/>
            <w:vAlign w:val="bottom"/>
            <w:hideMark/>
          </w:tcPr>
          <w:p w14:paraId="0BED0B5F"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0.95</w:t>
            </w:r>
          </w:p>
        </w:tc>
        <w:tc>
          <w:tcPr>
            <w:tcW w:w="1170" w:type="dxa"/>
            <w:tcBorders>
              <w:top w:val="nil"/>
              <w:left w:val="nil"/>
              <w:bottom w:val="nil"/>
              <w:right w:val="nil"/>
            </w:tcBorders>
            <w:shd w:val="clear" w:color="auto" w:fill="auto"/>
            <w:noWrap/>
            <w:vAlign w:val="bottom"/>
            <w:hideMark/>
          </w:tcPr>
          <w:p w14:paraId="1FD9ED57"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0.38 - 2.39</w:t>
            </w:r>
          </w:p>
        </w:tc>
        <w:tc>
          <w:tcPr>
            <w:tcW w:w="900" w:type="dxa"/>
            <w:tcBorders>
              <w:top w:val="nil"/>
              <w:left w:val="nil"/>
              <w:bottom w:val="nil"/>
              <w:right w:val="single" w:sz="8" w:space="0" w:color="auto"/>
            </w:tcBorders>
            <w:shd w:val="clear" w:color="auto" w:fill="auto"/>
            <w:noWrap/>
            <w:vAlign w:val="bottom"/>
            <w:hideMark/>
          </w:tcPr>
          <w:p w14:paraId="0672F46E"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0.917</w:t>
            </w:r>
          </w:p>
        </w:tc>
      </w:tr>
      <w:tr w:rsidR="002C403D" w:rsidRPr="00E377CE" w14:paraId="00510DD4" w14:textId="77777777" w:rsidTr="001C4A0B">
        <w:trPr>
          <w:trHeight w:val="315"/>
        </w:trPr>
        <w:tc>
          <w:tcPr>
            <w:tcW w:w="4320" w:type="dxa"/>
            <w:tcBorders>
              <w:top w:val="nil"/>
              <w:left w:val="single" w:sz="8" w:space="0" w:color="auto"/>
              <w:bottom w:val="nil"/>
              <w:right w:val="nil"/>
            </w:tcBorders>
            <w:shd w:val="clear" w:color="auto" w:fill="auto"/>
            <w:noWrap/>
            <w:vAlign w:val="center"/>
            <w:hideMark/>
          </w:tcPr>
          <w:p w14:paraId="461CAA15" w14:textId="77777777" w:rsidR="002C403D" w:rsidRPr="00E377CE" w:rsidRDefault="002C403D" w:rsidP="001C4A0B">
            <w:pPr>
              <w:rPr>
                <w:rFonts w:ascii="Calibri" w:hAnsi="Calibri" w:cs="Calibri"/>
                <w:color w:val="000000"/>
                <w:sz w:val="18"/>
                <w:szCs w:val="18"/>
              </w:rPr>
            </w:pPr>
            <w:r w:rsidRPr="00E377CE">
              <w:rPr>
                <w:rFonts w:ascii="Calibri" w:hAnsi="Calibri" w:cs="Calibri"/>
                <w:color w:val="000000"/>
                <w:sz w:val="18"/>
                <w:szCs w:val="18"/>
              </w:rPr>
              <w:t>Did not complete high school/GED</w:t>
            </w:r>
          </w:p>
        </w:tc>
        <w:tc>
          <w:tcPr>
            <w:tcW w:w="1170" w:type="dxa"/>
            <w:tcBorders>
              <w:top w:val="nil"/>
              <w:left w:val="nil"/>
              <w:bottom w:val="nil"/>
              <w:right w:val="nil"/>
            </w:tcBorders>
            <w:shd w:val="clear" w:color="auto" w:fill="auto"/>
            <w:noWrap/>
            <w:vAlign w:val="bottom"/>
            <w:hideMark/>
          </w:tcPr>
          <w:p w14:paraId="54B5B422"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1.91</w:t>
            </w:r>
          </w:p>
        </w:tc>
        <w:tc>
          <w:tcPr>
            <w:tcW w:w="1260" w:type="dxa"/>
            <w:tcBorders>
              <w:top w:val="nil"/>
              <w:left w:val="nil"/>
              <w:bottom w:val="nil"/>
              <w:right w:val="nil"/>
            </w:tcBorders>
            <w:shd w:val="clear" w:color="auto" w:fill="auto"/>
            <w:noWrap/>
            <w:vAlign w:val="bottom"/>
            <w:hideMark/>
          </w:tcPr>
          <w:p w14:paraId="59CC584A"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1.20 - 3.04</w:t>
            </w:r>
          </w:p>
        </w:tc>
        <w:tc>
          <w:tcPr>
            <w:tcW w:w="1080" w:type="dxa"/>
            <w:tcBorders>
              <w:top w:val="nil"/>
              <w:left w:val="nil"/>
              <w:bottom w:val="nil"/>
              <w:right w:val="nil"/>
            </w:tcBorders>
            <w:shd w:val="clear" w:color="auto" w:fill="auto"/>
            <w:noWrap/>
            <w:vAlign w:val="bottom"/>
            <w:hideMark/>
          </w:tcPr>
          <w:p w14:paraId="0F63E3DB" w14:textId="77777777" w:rsidR="002C403D" w:rsidRPr="00E377CE" w:rsidRDefault="002C403D" w:rsidP="001C4A0B">
            <w:pPr>
              <w:jc w:val="center"/>
              <w:rPr>
                <w:rFonts w:ascii="Calibri" w:hAnsi="Calibri" w:cs="Calibri"/>
                <w:b/>
                <w:bCs/>
                <w:color w:val="000000"/>
                <w:sz w:val="18"/>
                <w:szCs w:val="18"/>
              </w:rPr>
            </w:pPr>
            <w:r w:rsidRPr="00E377CE">
              <w:rPr>
                <w:rFonts w:ascii="Calibri" w:hAnsi="Calibri" w:cs="Calibri"/>
                <w:b/>
                <w:bCs/>
                <w:color w:val="000000"/>
                <w:sz w:val="18"/>
                <w:szCs w:val="18"/>
              </w:rPr>
              <w:t>0.007</w:t>
            </w:r>
          </w:p>
        </w:tc>
        <w:tc>
          <w:tcPr>
            <w:tcW w:w="810" w:type="dxa"/>
            <w:tcBorders>
              <w:top w:val="nil"/>
              <w:left w:val="nil"/>
              <w:bottom w:val="nil"/>
              <w:right w:val="nil"/>
            </w:tcBorders>
            <w:shd w:val="clear" w:color="auto" w:fill="auto"/>
            <w:noWrap/>
            <w:vAlign w:val="bottom"/>
            <w:hideMark/>
          </w:tcPr>
          <w:p w14:paraId="0628FB4A"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1.72</w:t>
            </w:r>
          </w:p>
        </w:tc>
        <w:tc>
          <w:tcPr>
            <w:tcW w:w="1170" w:type="dxa"/>
            <w:tcBorders>
              <w:top w:val="nil"/>
              <w:left w:val="nil"/>
              <w:bottom w:val="nil"/>
              <w:right w:val="nil"/>
            </w:tcBorders>
            <w:shd w:val="clear" w:color="auto" w:fill="auto"/>
            <w:noWrap/>
            <w:vAlign w:val="bottom"/>
            <w:hideMark/>
          </w:tcPr>
          <w:p w14:paraId="6D3CF83B"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1.02 - 2.89</w:t>
            </w:r>
          </w:p>
        </w:tc>
        <w:tc>
          <w:tcPr>
            <w:tcW w:w="900" w:type="dxa"/>
            <w:tcBorders>
              <w:top w:val="nil"/>
              <w:left w:val="nil"/>
              <w:bottom w:val="nil"/>
              <w:right w:val="single" w:sz="8" w:space="0" w:color="auto"/>
            </w:tcBorders>
            <w:shd w:val="clear" w:color="auto" w:fill="auto"/>
            <w:noWrap/>
            <w:vAlign w:val="bottom"/>
            <w:hideMark/>
          </w:tcPr>
          <w:p w14:paraId="570BF208" w14:textId="77777777" w:rsidR="002C403D" w:rsidRPr="00E377CE" w:rsidRDefault="002C403D" w:rsidP="001C4A0B">
            <w:pPr>
              <w:jc w:val="center"/>
              <w:rPr>
                <w:rFonts w:ascii="Calibri" w:hAnsi="Calibri" w:cs="Calibri"/>
                <w:b/>
                <w:bCs/>
                <w:color w:val="000000"/>
                <w:sz w:val="18"/>
                <w:szCs w:val="18"/>
              </w:rPr>
            </w:pPr>
            <w:r w:rsidRPr="00E377CE">
              <w:rPr>
                <w:rFonts w:ascii="Calibri" w:hAnsi="Calibri" w:cs="Calibri"/>
                <w:b/>
                <w:bCs/>
                <w:color w:val="000000"/>
                <w:sz w:val="18"/>
                <w:szCs w:val="18"/>
              </w:rPr>
              <w:t>0.041</w:t>
            </w:r>
          </w:p>
        </w:tc>
      </w:tr>
      <w:tr w:rsidR="002C403D" w:rsidRPr="00E377CE" w14:paraId="7704C24F" w14:textId="77777777" w:rsidTr="001C4A0B">
        <w:trPr>
          <w:trHeight w:val="315"/>
        </w:trPr>
        <w:tc>
          <w:tcPr>
            <w:tcW w:w="4320" w:type="dxa"/>
            <w:tcBorders>
              <w:top w:val="nil"/>
              <w:left w:val="single" w:sz="8" w:space="0" w:color="auto"/>
              <w:bottom w:val="nil"/>
              <w:right w:val="nil"/>
            </w:tcBorders>
            <w:shd w:val="clear" w:color="auto" w:fill="auto"/>
            <w:noWrap/>
            <w:vAlign w:val="center"/>
            <w:hideMark/>
          </w:tcPr>
          <w:p w14:paraId="408C273A" w14:textId="77777777" w:rsidR="002C403D" w:rsidRPr="00E377CE" w:rsidRDefault="002C403D" w:rsidP="001C4A0B">
            <w:pPr>
              <w:rPr>
                <w:rFonts w:ascii="Calibri" w:hAnsi="Calibri" w:cs="Calibri"/>
                <w:color w:val="000000"/>
                <w:sz w:val="18"/>
                <w:szCs w:val="18"/>
              </w:rPr>
            </w:pPr>
            <w:r w:rsidRPr="00E377CE">
              <w:rPr>
                <w:rFonts w:ascii="Calibri" w:hAnsi="Calibri" w:cs="Calibri"/>
                <w:color w:val="000000"/>
                <w:sz w:val="18"/>
                <w:szCs w:val="18"/>
              </w:rPr>
              <w:t>Full- or part-time legal employment as primary income source, past 3 months</w:t>
            </w:r>
          </w:p>
        </w:tc>
        <w:tc>
          <w:tcPr>
            <w:tcW w:w="1170" w:type="dxa"/>
            <w:tcBorders>
              <w:top w:val="nil"/>
              <w:left w:val="nil"/>
              <w:bottom w:val="nil"/>
              <w:right w:val="nil"/>
            </w:tcBorders>
            <w:shd w:val="clear" w:color="auto" w:fill="auto"/>
            <w:noWrap/>
            <w:vAlign w:val="bottom"/>
            <w:hideMark/>
          </w:tcPr>
          <w:p w14:paraId="5BC9B22A"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0.68</w:t>
            </w:r>
          </w:p>
        </w:tc>
        <w:tc>
          <w:tcPr>
            <w:tcW w:w="1260" w:type="dxa"/>
            <w:tcBorders>
              <w:top w:val="nil"/>
              <w:left w:val="nil"/>
              <w:bottom w:val="nil"/>
              <w:right w:val="nil"/>
            </w:tcBorders>
            <w:shd w:val="clear" w:color="auto" w:fill="auto"/>
            <w:noWrap/>
            <w:vAlign w:val="bottom"/>
            <w:hideMark/>
          </w:tcPr>
          <w:p w14:paraId="63C4D22B"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0.32 - 1.45</w:t>
            </w:r>
          </w:p>
        </w:tc>
        <w:tc>
          <w:tcPr>
            <w:tcW w:w="1080" w:type="dxa"/>
            <w:tcBorders>
              <w:top w:val="nil"/>
              <w:left w:val="nil"/>
              <w:bottom w:val="nil"/>
              <w:right w:val="nil"/>
            </w:tcBorders>
            <w:shd w:val="clear" w:color="auto" w:fill="auto"/>
            <w:noWrap/>
            <w:vAlign w:val="bottom"/>
            <w:hideMark/>
          </w:tcPr>
          <w:p w14:paraId="10BF9E74"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0.322</w:t>
            </w:r>
          </w:p>
        </w:tc>
        <w:tc>
          <w:tcPr>
            <w:tcW w:w="810" w:type="dxa"/>
            <w:tcBorders>
              <w:top w:val="nil"/>
              <w:left w:val="nil"/>
              <w:bottom w:val="nil"/>
              <w:right w:val="nil"/>
            </w:tcBorders>
            <w:shd w:val="clear" w:color="auto" w:fill="auto"/>
            <w:noWrap/>
            <w:vAlign w:val="bottom"/>
            <w:hideMark/>
          </w:tcPr>
          <w:p w14:paraId="222E9206" w14:textId="77777777" w:rsidR="002C403D" w:rsidRPr="00E377CE" w:rsidRDefault="002C403D" w:rsidP="001C4A0B">
            <w:pPr>
              <w:jc w:val="center"/>
              <w:rPr>
                <w:rFonts w:ascii="Calibri" w:hAnsi="Calibri" w:cs="Calibri"/>
                <w:color w:val="000000"/>
                <w:sz w:val="18"/>
                <w:szCs w:val="18"/>
              </w:rPr>
            </w:pPr>
          </w:p>
        </w:tc>
        <w:tc>
          <w:tcPr>
            <w:tcW w:w="1170" w:type="dxa"/>
            <w:tcBorders>
              <w:top w:val="nil"/>
              <w:left w:val="nil"/>
              <w:bottom w:val="nil"/>
              <w:right w:val="nil"/>
            </w:tcBorders>
            <w:shd w:val="clear" w:color="auto" w:fill="auto"/>
            <w:noWrap/>
            <w:vAlign w:val="bottom"/>
            <w:hideMark/>
          </w:tcPr>
          <w:p w14:paraId="6FA4A766" w14:textId="77777777" w:rsidR="002C403D" w:rsidRPr="00E377CE" w:rsidRDefault="002C403D" w:rsidP="001C4A0B">
            <w:pPr>
              <w:jc w:val="center"/>
              <w:rPr>
                <w:sz w:val="18"/>
                <w:szCs w:val="18"/>
              </w:rPr>
            </w:pPr>
          </w:p>
        </w:tc>
        <w:tc>
          <w:tcPr>
            <w:tcW w:w="900" w:type="dxa"/>
            <w:tcBorders>
              <w:top w:val="nil"/>
              <w:left w:val="nil"/>
              <w:bottom w:val="nil"/>
              <w:right w:val="single" w:sz="8" w:space="0" w:color="auto"/>
            </w:tcBorders>
            <w:shd w:val="clear" w:color="auto" w:fill="auto"/>
            <w:noWrap/>
            <w:vAlign w:val="bottom"/>
            <w:hideMark/>
          </w:tcPr>
          <w:p w14:paraId="1AB6EF3D"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 </w:t>
            </w:r>
          </w:p>
        </w:tc>
      </w:tr>
      <w:tr w:rsidR="002C403D" w:rsidRPr="00E377CE" w14:paraId="5073C55C" w14:textId="77777777" w:rsidTr="001C4A0B">
        <w:trPr>
          <w:trHeight w:val="315"/>
        </w:trPr>
        <w:tc>
          <w:tcPr>
            <w:tcW w:w="4320" w:type="dxa"/>
            <w:tcBorders>
              <w:top w:val="nil"/>
              <w:left w:val="single" w:sz="8" w:space="0" w:color="auto"/>
              <w:bottom w:val="nil"/>
              <w:right w:val="nil"/>
            </w:tcBorders>
            <w:shd w:val="clear" w:color="auto" w:fill="auto"/>
            <w:noWrap/>
            <w:vAlign w:val="center"/>
            <w:hideMark/>
          </w:tcPr>
          <w:p w14:paraId="0C9F5806" w14:textId="77777777" w:rsidR="002C403D" w:rsidRPr="00E377CE" w:rsidRDefault="002C403D" w:rsidP="001C4A0B">
            <w:pPr>
              <w:rPr>
                <w:rFonts w:ascii="Calibri" w:hAnsi="Calibri" w:cs="Calibri"/>
                <w:color w:val="000000"/>
                <w:sz w:val="18"/>
                <w:szCs w:val="18"/>
              </w:rPr>
            </w:pPr>
            <w:r>
              <w:rPr>
                <w:rFonts w:ascii="Calibri" w:hAnsi="Calibri" w:cs="Calibri"/>
                <w:color w:val="000000"/>
                <w:sz w:val="18"/>
                <w:szCs w:val="18"/>
              </w:rPr>
              <w:t>C</w:t>
            </w:r>
            <w:r w:rsidRPr="00C1612F">
              <w:rPr>
                <w:rFonts w:ascii="Calibri" w:hAnsi="Calibri" w:cs="Calibri"/>
                <w:color w:val="000000"/>
                <w:sz w:val="18"/>
                <w:szCs w:val="18"/>
              </w:rPr>
              <w:t>urrently unstably housed</w:t>
            </w:r>
          </w:p>
        </w:tc>
        <w:tc>
          <w:tcPr>
            <w:tcW w:w="1170" w:type="dxa"/>
            <w:tcBorders>
              <w:top w:val="nil"/>
              <w:left w:val="nil"/>
              <w:bottom w:val="nil"/>
              <w:right w:val="nil"/>
            </w:tcBorders>
            <w:shd w:val="clear" w:color="auto" w:fill="auto"/>
            <w:noWrap/>
            <w:vAlign w:val="bottom"/>
            <w:hideMark/>
          </w:tcPr>
          <w:p w14:paraId="58009374"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1.04</w:t>
            </w:r>
          </w:p>
        </w:tc>
        <w:tc>
          <w:tcPr>
            <w:tcW w:w="1260" w:type="dxa"/>
            <w:tcBorders>
              <w:top w:val="nil"/>
              <w:left w:val="nil"/>
              <w:bottom w:val="nil"/>
              <w:right w:val="nil"/>
            </w:tcBorders>
            <w:shd w:val="clear" w:color="auto" w:fill="auto"/>
            <w:noWrap/>
            <w:vAlign w:val="bottom"/>
            <w:hideMark/>
          </w:tcPr>
          <w:p w14:paraId="2925A89A"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0.64 - 1.69</w:t>
            </w:r>
          </w:p>
        </w:tc>
        <w:tc>
          <w:tcPr>
            <w:tcW w:w="1080" w:type="dxa"/>
            <w:tcBorders>
              <w:top w:val="nil"/>
              <w:left w:val="nil"/>
              <w:bottom w:val="nil"/>
              <w:right w:val="nil"/>
            </w:tcBorders>
            <w:shd w:val="clear" w:color="auto" w:fill="auto"/>
            <w:noWrap/>
            <w:vAlign w:val="bottom"/>
            <w:hideMark/>
          </w:tcPr>
          <w:p w14:paraId="24C1DF28"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0.869</w:t>
            </w:r>
          </w:p>
        </w:tc>
        <w:tc>
          <w:tcPr>
            <w:tcW w:w="810" w:type="dxa"/>
            <w:tcBorders>
              <w:top w:val="nil"/>
              <w:left w:val="nil"/>
              <w:bottom w:val="nil"/>
              <w:right w:val="nil"/>
            </w:tcBorders>
            <w:shd w:val="clear" w:color="auto" w:fill="auto"/>
            <w:noWrap/>
            <w:vAlign w:val="bottom"/>
            <w:hideMark/>
          </w:tcPr>
          <w:p w14:paraId="3C9AD8C0" w14:textId="77777777" w:rsidR="002C403D" w:rsidRPr="00E377CE" w:rsidRDefault="002C403D" w:rsidP="001C4A0B">
            <w:pPr>
              <w:jc w:val="center"/>
              <w:rPr>
                <w:rFonts w:ascii="Calibri" w:hAnsi="Calibri" w:cs="Calibri"/>
                <w:color w:val="000000"/>
                <w:sz w:val="18"/>
                <w:szCs w:val="18"/>
              </w:rPr>
            </w:pPr>
          </w:p>
        </w:tc>
        <w:tc>
          <w:tcPr>
            <w:tcW w:w="1170" w:type="dxa"/>
            <w:tcBorders>
              <w:top w:val="nil"/>
              <w:left w:val="nil"/>
              <w:bottom w:val="nil"/>
              <w:right w:val="nil"/>
            </w:tcBorders>
            <w:shd w:val="clear" w:color="auto" w:fill="auto"/>
            <w:noWrap/>
            <w:vAlign w:val="bottom"/>
            <w:hideMark/>
          </w:tcPr>
          <w:p w14:paraId="1B7A01B6" w14:textId="77777777" w:rsidR="002C403D" w:rsidRPr="00E377CE" w:rsidRDefault="002C403D" w:rsidP="001C4A0B">
            <w:pPr>
              <w:jc w:val="center"/>
              <w:rPr>
                <w:sz w:val="18"/>
                <w:szCs w:val="18"/>
              </w:rPr>
            </w:pPr>
          </w:p>
        </w:tc>
        <w:tc>
          <w:tcPr>
            <w:tcW w:w="900" w:type="dxa"/>
            <w:tcBorders>
              <w:top w:val="nil"/>
              <w:left w:val="nil"/>
              <w:bottom w:val="nil"/>
              <w:right w:val="single" w:sz="8" w:space="0" w:color="auto"/>
            </w:tcBorders>
            <w:shd w:val="clear" w:color="auto" w:fill="auto"/>
            <w:noWrap/>
            <w:vAlign w:val="bottom"/>
            <w:hideMark/>
          </w:tcPr>
          <w:p w14:paraId="32A0734B"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 </w:t>
            </w:r>
          </w:p>
        </w:tc>
      </w:tr>
      <w:tr w:rsidR="002C403D" w:rsidRPr="00E377CE" w14:paraId="1CAEFE80" w14:textId="77777777" w:rsidTr="001C4A0B">
        <w:trPr>
          <w:trHeight w:val="330"/>
        </w:trPr>
        <w:tc>
          <w:tcPr>
            <w:tcW w:w="5490" w:type="dxa"/>
            <w:gridSpan w:val="2"/>
            <w:tcBorders>
              <w:top w:val="single" w:sz="8" w:space="0" w:color="auto"/>
              <w:left w:val="single" w:sz="8" w:space="0" w:color="auto"/>
              <w:bottom w:val="single" w:sz="8" w:space="0" w:color="auto"/>
              <w:right w:val="nil"/>
            </w:tcBorders>
            <w:shd w:val="clear" w:color="auto" w:fill="auto"/>
            <w:noWrap/>
            <w:vAlign w:val="center"/>
            <w:hideMark/>
          </w:tcPr>
          <w:p w14:paraId="0AB10047" w14:textId="77777777" w:rsidR="002C403D" w:rsidRPr="00E377CE" w:rsidRDefault="002C403D" w:rsidP="001C4A0B">
            <w:pPr>
              <w:rPr>
                <w:rFonts w:ascii="Calibri" w:hAnsi="Calibri" w:cs="Calibri"/>
                <w:b/>
                <w:bCs/>
                <w:color w:val="000000"/>
                <w:sz w:val="18"/>
                <w:szCs w:val="18"/>
              </w:rPr>
            </w:pPr>
            <w:r w:rsidRPr="00E377CE">
              <w:rPr>
                <w:rFonts w:ascii="Calibri" w:hAnsi="Calibri" w:cs="Calibri"/>
                <w:b/>
                <w:bCs/>
                <w:color w:val="000000"/>
                <w:sz w:val="18"/>
                <w:szCs w:val="18"/>
              </w:rPr>
              <w:t>Health care service access and utilization</w:t>
            </w:r>
          </w:p>
        </w:tc>
        <w:tc>
          <w:tcPr>
            <w:tcW w:w="1260" w:type="dxa"/>
            <w:tcBorders>
              <w:top w:val="single" w:sz="8" w:space="0" w:color="auto"/>
              <w:left w:val="nil"/>
              <w:bottom w:val="single" w:sz="8" w:space="0" w:color="auto"/>
              <w:right w:val="nil"/>
            </w:tcBorders>
            <w:shd w:val="clear" w:color="auto" w:fill="auto"/>
            <w:noWrap/>
            <w:vAlign w:val="bottom"/>
            <w:hideMark/>
          </w:tcPr>
          <w:p w14:paraId="43645B9D"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 </w:t>
            </w:r>
          </w:p>
        </w:tc>
        <w:tc>
          <w:tcPr>
            <w:tcW w:w="1080" w:type="dxa"/>
            <w:tcBorders>
              <w:top w:val="single" w:sz="8" w:space="0" w:color="auto"/>
              <w:left w:val="nil"/>
              <w:bottom w:val="single" w:sz="8" w:space="0" w:color="auto"/>
              <w:right w:val="nil"/>
            </w:tcBorders>
            <w:shd w:val="clear" w:color="auto" w:fill="auto"/>
            <w:noWrap/>
            <w:vAlign w:val="bottom"/>
            <w:hideMark/>
          </w:tcPr>
          <w:p w14:paraId="7C1B7C3C"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 </w:t>
            </w:r>
          </w:p>
        </w:tc>
        <w:tc>
          <w:tcPr>
            <w:tcW w:w="810" w:type="dxa"/>
            <w:tcBorders>
              <w:top w:val="single" w:sz="8" w:space="0" w:color="auto"/>
              <w:left w:val="nil"/>
              <w:bottom w:val="single" w:sz="8" w:space="0" w:color="auto"/>
              <w:right w:val="nil"/>
            </w:tcBorders>
            <w:shd w:val="clear" w:color="auto" w:fill="auto"/>
            <w:noWrap/>
            <w:vAlign w:val="bottom"/>
            <w:hideMark/>
          </w:tcPr>
          <w:p w14:paraId="457A00B5"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 </w:t>
            </w:r>
          </w:p>
        </w:tc>
        <w:tc>
          <w:tcPr>
            <w:tcW w:w="1170" w:type="dxa"/>
            <w:tcBorders>
              <w:top w:val="single" w:sz="8" w:space="0" w:color="auto"/>
              <w:left w:val="nil"/>
              <w:bottom w:val="single" w:sz="8" w:space="0" w:color="auto"/>
              <w:right w:val="nil"/>
            </w:tcBorders>
            <w:shd w:val="clear" w:color="auto" w:fill="auto"/>
            <w:noWrap/>
            <w:vAlign w:val="bottom"/>
            <w:hideMark/>
          </w:tcPr>
          <w:p w14:paraId="747A03C8"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 </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14:paraId="07EFFC4E"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 </w:t>
            </w:r>
          </w:p>
        </w:tc>
      </w:tr>
      <w:tr w:rsidR="002C403D" w:rsidRPr="00E377CE" w14:paraId="44C4DDA9" w14:textId="77777777" w:rsidTr="001C4A0B">
        <w:trPr>
          <w:trHeight w:val="315"/>
        </w:trPr>
        <w:tc>
          <w:tcPr>
            <w:tcW w:w="4320" w:type="dxa"/>
            <w:tcBorders>
              <w:top w:val="nil"/>
              <w:left w:val="single" w:sz="8" w:space="0" w:color="auto"/>
              <w:bottom w:val="nil"/>
              <w:right w:val="nil"/>
            </w:tcBorders>
            <w:shd w:val="clear" w:color="auto" w:fill="auto"/>
            <w:noWrap/>
            <w:vAlign w:val="center"/>
            <w:hideMark/>
          </w:tcPr>
          <w:p w14:paraId="006636E4" w14:textId="77777777" w:rsidR="002C403D" w:rsidRPr="00E377CE" w:rsidRDefault="002C403D" w:rsidP="001C4A0B">
            <w:pPr>
              <w:rPr>
                <w:rFonts w:ascii="Calibri" w:hAnsi="Calibri" w:cs="Calibri"/>
                <w:color w:val="000000"/>
                <w:sz w:val="18"/>
                <w:szCs w:val="18"/>
              </w:rPr>
            </w:pPr>
            <w:r w:rsidRPr="00E377CE">
              <w:rPr>
                <w:rFonts w:ascii="Calibri" w:hAnsi="Calibri" w:cs="Calibri"/>
                <w:color w:val="000000"/>
                <w:sz w:val="18"/>
                <w:szCs w:val="18"/>
              </w:rPr>
              <w:t>Has health insurance</w:t>
            </w:r>
          </w:p>
        </w:tc>
        <w:tc>
          <w:tcPr>
            <w:tcW w:w="1170" w:type="dxa"/>
            <w:tcBorders>
              <w:top w:val="nil"/>
              <w:left w:val="nil"/>
              <w:bottom w:val="nil"/>
              <w:right w:val="nil"/>
            </w:tcBorders>
            <w:shd w:val="clear" w:color="auto" w:fill="auto"/>
            <w:noWrap/>
            <w:vAlign w:val="bottom"/>
            <w:hideMark/>
          </w:tcPr>
          <w:p w14:paraId="6C5479C1"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1.14</w:t>
            </w:r>
          </w:p>
        </w:tc>
        <w:tc>
          <w:tcPr>
            <w:tcW w:w="1260" w:type="dxa"/>
            <w:tcBorders>
              <w:top w:val="nil"/>
              <w:left w:val="nil"/>
              <w:bottom w:val="nil"/>
              <w:right w:val="nil"/>
            </w:tcBorders>
            <w:shd w:val="clear" w:color="auto" w:fill="auto"/>
            <w:noWrap/>
            <w:vAlign w:val="bottom"/>
            <w:hideMark/>
          </w:tcPr>
          <w:p w14:paraId="7FCFD267"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0.62 - 2.09</w:t>
            </w:r>
          </w:p>
        </w:tc>
        <w:tc>
          <w:tcPr>
            <w:tcW w:w="1080" w:type="dxa"/>
            <w:tcBorders>
              <w:top w:val="nil"/>
              <w:left w:val="nil"/>
              <w:bottom w:val="nil"/>
              <w:right w:val="nil"/>
            </w:tcBorders>
            <w:shd w:val="clear" w:color="auto" w:fill="auto"/>
            <w:noWrap/>
            <w:vAlign w:val="bottom"/>
            <w:hideMark/>
          </w:tcPr>
          <w:p w14:paraId="62C7BA38"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0.665</w:t>
            </w:r>
          </w:p>
        </w:tc>
        <w:tc>
          <w:tcPr>
            <w:tcW w:w="810" w:type="dxa"/>
            <w:tcBorders>
              <w:top w:val="nil"/>
              <w:left w:val="nil"/>
              <w:bottom w:val="nil"/>
              <w:right w:val="nil"/>
            </w:tcBorders>
            <w:shd w:val="clear" w:color="auto" w:fill="auto"/>
            <w:noWrap/>
            <w:vAlign w:val="bottom"/>
            <w:hideMark/>
          </w:tcPr>
          <w:p w14:paraId="233FD97A" w14:textId="77777777" w:rsidR="002C403D" w:rsidRPr="00E377CE" w:rsidRDefault="002C403D" w:rsidP="001C4A0B">
            <w:pPr>
              <w:jc w:val="center"/>
              <w:rPr>
                <w:rFonts w:ascii="Calibri" w:hAnsi="Calibri" w:cs="Calibri"/>
                <w:color w:val="000000"/>
                <w:sz w:val="18"/>
                <w:szCs w:val="18"/>
              </w:rPr>
            </w:pPr>
          </w:p>
        </w:tc>
        <w:tc>
          <w:tcPr>
            <w:tcW w:w="1170" w:type="dxa"/>
            <w:tcBorders>
              <w:top w:val="nil"/>
              <w:left w:val="nil"/>
              <w:bottom w:val="nil"/>
              <w:right w:val="nil"/>
            </w:tcBorders>
            <w:shd w:val="clear" w:color="auto" w:fill="auto"/>
            <w:noWrap/>
            <w:vAlign w:val="bottom"/>
            <w:hideMark/>
          </w:tcPr>
          <w:p w14:paraId="6386DCB5" w14:textId="77777777" w:rsidR="002C403D" w:rsidRPr="00E377CE" w:rsidRDefault="002C403D" w:rsidP="001C4A0B">
            <w:pPr>
              <w:jc w:val="center"/>
              <w:rPr>
                <w:sz w:val="18"/>
                <w:szCs w:val="18"/>
              </w:rPr>
            </w:pPr>
          </w:p>
        </w:tc>
        <w:tc>
          <w:tcPr>
            <w:tcW w:w="900" w:type="dxa"/>
            <w:tcBorders>
              <w:top w:val="nil"/>
              <w:left w:val="nil"/>
              <w:bottom w:val="nil"/>
              <w:right w:val="single" w:sz="8" w:space="0" w:color="auto"/>
            </w:tcBorders>
            <w:shd w:val="clear" w:color="auto" w:fill="auto"/>
            <w:noWrap/>
            <w:vAlign w:val="bottom"/>
            <w:hideMark/>
          </w:tcPr>
          <w:p w14:paraId="47CDFF38"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 </w:t>
            </w:r>
          </w:p>
        </w:tc>
      </w:tr>
      <w:tr w:rsidR="002C403D" w:rsidRPr="00E377CE" w14:paraId="4D24DA7C" w14:textId="77777777" w:rsidTr="001C4A0B">
        <w:trPr>
          <w:trHeight w:val="315"/>
        </w:trPr>
        <w:tc>
          <w:tcPr>
            <w:tcW w:w="4320" w:type="dxa"/>
            <w:tcBorders>
              <w:top w:val="nil"/>
              <w:left w:val="single" w:sz="8" w:space="0" w:color="auto"/>
              <w:bottom w:val="nil"/>
              <w:right w:val="nil"/>
            </w:tcBorders>
            <w:shd w:val="clear" w:color="auto" w:fill="auto"/>
            <w:noWrap/>
            <w:vAlign w:val="center"/>
            <w:hideMark/>
          </w:tcPr>
          <w:p w14:paraId="4F787FD3" w14:textId="77777777" w:rsidR="002C403D" w:rsidRPr="00E377CE" w:rsidRDefault="002C403D" w:rsidP="001C4A0B">
            <w:pPr>
              <w:rPr>
                <w:rFonts w:ascii="Calibri" w:hAnsi="Calibri" w:cs="Calibri"/>
                <w:color w:val="000000"/>
                <w:sz w:val="18"/>
                <w:szCs w:val="18"/>
              </w:rPr>
            </w:pPr>
            <w:r w:rsidRPr="00E377CE">
              <w:rPr>
                <w:rFonts w:ascii="Calibri" w:hAnsi="Calibri" w:cs="Calibri"/>
                <w:color w:val="000000"/>
                <w:sz w:val="18"/>
                <w:szCs w:val="18"/>
              </w:rPr>
              <w:t>ER visit, past 3 months</w:t>
            </w:r>
          </w:p>
        </w:tc>
        <w:tc>
          <w:tcPr>
            <w:tcW w:w="1170" w:type="dxa"/>
            <w:tcBorders>
              <w:top w:val="nil"/>
              <w:left w:val="nil"/>
              <w:bottom w:val="nil"/>
              <w:right w:val="nil"/>
            </w:tcBorders>
            <w:shd w:val="clear" w:color="auto" w:fill="auto"/>
            <w:noWrap/>
            <w:vAlign w:val="bottom"/>
            <w:hideMark/>
          </w:tcPr>
          <w:p w14:paraId="5CCC9CEA"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1.55</w:t>
            </w:r>
          </w:p>
        </w:tc>
        <w:tc>
          <w:tcPr>
            <w:tcW w:w="1260" w:type="dxa"/>
            <w:tcBorders>
              <w:top w:val="nil"/>
              <w:left w:val="nil"/>
              <w:bottom w:val="nil"/>
              <w:right w:val="nil"/>
            </w:tcBorders>
            <w:shd w:val="clear" w:color="auto" w:fill="auto"/>
            <w:noWrap/>
            <w:vAlign w:val="bottom"/>
            <w:hideMark/>
          </w:tcPr>
          <w:p w14:paraId="30AC9FFD"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0.95 - 2.52</w:t>
            </w:r>
          </w:p>
        </w:tc>
        <w:tc>
          <w:tcPr>
            <w:tcW w:w="1080" w:type="dxa"/>
            <w:tcBorders>
              <w:top w:val="nil"/>
              <w:left w:val="nil"/>
              <w:bottom w:val="nil"/>
              <w:right w:val="nil"/>
            </w:tcBorders>
            <w:shd w:val="clear" w:color="auto" w:fill="auto"/>
            <w:noWrap/>
            <w:vAlign w:val="bottom"/>
            <w:hideMark/>
          </w:tcPr>
          <w:p w14:paraId="698284B9"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0.080</w:t>
            </w:r>
          </w:p>
        </w:tc>
        <w:tc>
          <w:tcPr>
            <w:tcW w:w="810" w:type="dxa"/>
            <w:tcBorders>
              <w:top w:val="nil"/>
              <w:left w:val="nil"/>
              <w:bottom w:val="nil"/>
              <w:right w:val="nil"/>
            </w:tcBorders>
            <w:shd w:val="clear" w:color="auto" w:fill="auto"/>
            <w:noWrap/>
            <w:vAlign w:val="bottom"/>
            <w:hideMark/>
          </w:tcPr>
          <w:p w14:paraId="4F2AA8EA" w14:textId="77777777" w:rsidR="002C403D" w:rsidRPr="00E377CE" w:rsidRDefault="002C403D" w:rsidP="001C4A0B">
            <w:pPr>
              <w:jc w:val="center"/>
              <w:rPr>
                <w:rFonts w:ascii="Calibri" w:hAnsi="Calibri" w:cs="Calibri"/>
                <w:color w:val="000000"/>
                <w:sz w:val="18"/>
                <w:szCs w:val="18"/>
              </w:rPr>
            </w:pPr>
          </w:p>
        </w:tc>
        <w:tc>
          <w:tcPr>
            <w:tcW w:w="1170" w:type="dxa"/>
            <w:tcBorders>
              <w:top w:val="nil"/>
              <w:left w:val="nil"/>
              <w:bottom w:val="nil"/>
              <w:right w:val="nil"/>
            </w:tcBorders>
            <w:shd w:val="clear" w:color="auto" w:fill="auto"/>
            <w:noWrap/>
            <w:vAlign w:val="bottom"/>
            <w:hideMark/>
          </w:tcPr>
          <w:p w14:paraId="329EEE94" w14:textId="77777777" w:rsidR="002C403D" w:rsidRPr="00E377CE" w:rsidRDefault="002C403D" w:rsidP="001C4A0B">
            <w:pPr>
              <w:jc w:val="center"/>
              <w:rPr>
                <w:sz w:val="18"/>
                <w:szCs w:val="18"/>
              </w:rPr>
            </w:pPr>
          </w:p>
        </w:tc>
        <w:tc>
          <w:tcPr>
            <w:tcW w:w="900" w:type="dxa"/>
            <w:tcBorders>
              <w:top w:val="nil"/>
              <w:left w:val="nil"/>
              <w:bottom w:val="nil"/>
              <w:right w:val="single" w:sz="8" w:space="0" w:color="auto"/>
            </w:tcBorders>
            <w:shd w:val="clear" w:color="auto" w:fill="auto"/>
            <w:noWrap/>
            <w:vAlign w:val="bottom"/>
            <w:hideMark/>
          </w:tcPr>
          <w:p w14:paraId="163367E1"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 </w:t>
            </w:r>
          </w:p>
        </w:tc>
      </w:tr>
      <w:tr w:rsidR="002C403D" w:rsidRPr="00E377CE" w14:paraId="04087963" w14:textId="77777777" w:rsidTr="001C4A0B">
        <w:trPr>
          <w:trHeight w:val="330"/>
        </w:trPr>
        <w:tc>
          <w:tcPr>
            <w:tcW w:w="4320" w:type="dxa"/>
            <w:tcBorders>
              <w:top w:val="nil"/>
              <w:left w:val="single" w:sz="8" w:space="0" w:color="auto"/>
              <w:bottom w:val="nil"/>
              <w:right w:val="nil"/>
            </w:tcBorders>
            <w:shd w:val="clear" w:color="auto" w:fill="auto"/>
            <w:noWrap/>
            <w:vAlign w:val="center"/>
            <w:hideMark/>
          </w:tcPr>
          <w:p w14:paraId="19DEA649" w14:textId="77777777" w:rsidR="002C403D" w:rsidRPr="00E377CE" w:rsidRDefault="002C403D" w:rsidP="001C4A0B">
            <w:pPr>
              <w:rPr>
                <w:rFonts w:ascii="Calibri" w:hAnsi="Calibri" w:cs="Calibri"/>
                <w:color w:val="000000"/>
                <w:sz w:val="18"/>
                <w:szCs w:val="18"/>
              </w:rPr>
            </w:pPr>
            <w:r w:rsidRPr="00E377CE">
              <w:rPr>
                <w:rFonts w:ascii="Calibri" w:hAnsi="Calibri" w:cs="Calibri"/>
                <w:color w:val="000000"/>
                <w:sz w:val="18"/>
                <w:szCs w:val="18"/>
              </w:rPr>
              <w:t>Received mental health treatment, past 6 months</w:t>
            </w:r>
          </w:p>
        </w:tc>
        <w:tc>
          <w:tcPr>
            <w:tcW w:w="1170" w:type="dxa"/>
            <w:tcBorders>
              <w:top w:val="nil"/>
              <w:left w:val="nil"/>
              <w:bottom w:val="nil"/>
              <w:right w:val="nil"/>
            </w:tcBorders>
            <w:shd w:val="clear" w:color="auto" w:fill="auto"/>
            <w:noWrap/>
            <w:vAlign w:val="bottom"/>
            <w:hideMark/>
          </w:tcPr>
          <w:p w14:paraId="0D9DECD4"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2.11</w:t>
            </w:r>
          </w:p>
        </w:tc>
        <w:tc>
          <w:tcPr>
            <w:tcW w:w="1260" w:type="dxa"/>
            <w:tcBorders>
              <w:top w:val="nil"/>
              <w:left w:val="nil"/>
              <w:bottom w:val="nil"/>
              <w:right w:val="nil"/>
            </w:tcBorders>
            <w:shd w:val="clear" w:color="auto" w:fill="auto"/>
            <w:noWrap/>
            <w:vAlign w:val="bottom"/>
            <w:hideMark/>
          </w:tcPr>
          <w:p w14:paraId="7E933E3B"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1.32 - 3.37</w:t>
            </w:r>
          </w:p>
        </w:tc>
        <w:tc>
          <w:tcPr>
            <w:tcW w:w="1080" w:type="dxa"/>
            <w:tcBorders>
              <w:top w:val="nil"/>
              <w:left w:val="nil"/>
              <w:bottom w:val="nil"/>
              <w:right w:val="nil"/>
            </w:tcBorders>
            <w:shd w:val="clear" w:color="auto" w:fill="auto"/>
            <w:noWrap/>
            <w:vAlign w:val="bottom"/>
            <w:hideMark/>
          </w:tcPr>
          <w:p w14:paraId="71C746A1"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0.002</w:t>
            </w:r>
          </w:p>
        </w:tc>
        <w:tc>
          <w:tcPr>
            <w:tcW w:w="810" w:type="dxa"/>
            <w:tcBorders>
              <w:top w:val="nil"/>
              <w:left w:val="nil"/>
              <w:bottom w:val="nil"/>
              <w:right w:val="nil"/>
            </w:tcBorders>
            <w:shd w:val="clear" w:color="auto" w:fill="auto"/>
            <w:noWrap/>
            <w:vAlign w:val="bottom"/>
            <w:hideMark/>
          </w:tcPr>
          <w:p w14:paraId="04ED8F98"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2.11</w:t>
            </w:r>
          </w:p>
        </w:tc>
        <w:tc>
          <w:tcPr>
            <w:tcW w:w="1170" w:type="dxa"/>
            <w:tcBorders>
              <w:top w:val="nil"/>
              <w:left w:val="nil"/>
              <w:bottom w:val="nil"/>
              <w:right w:val="nil"/>
            </w:tcBorders>
            <w:shd w:val="clear" w:color="auto" w:fill="auto"/>
            <w:noWrap/>
            <w:vAlign w:val="bottom"/>
            <w:hideMark/>
          </w:tcPr>
          <w:p w14:paraId="28AA6C7F"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1.27 - 3.52</w:t>
            </w:r>
          </w:p>
        </w:tc>
        <w:tc>
          <w:tcPr>
            <w:tcW w:w="900" w:type="dxa"/>
            <w:tcBorders>
              <w:top w:val="nil"/>
              <w:left w:val="nil"/>
              <w:bottom w:val="nil"/>
              <w:right w:val="single" w:sz="8" w:space="0" w:color="auto"/>
            </w:tcBorders>
            <w:shd w:val="clear" w:color="auto" w:fill="auto"/>
            <w:noWrap/>
            <w:vAlign w:val="bottom"/>
            <w:hideMark/>
          </w:tcPr>
          <w:p w14:paraId="2D111968" w14:textId="77777777" w:rsidR="002C403D" w:rsidRPr="00E377CE" w:rsidRDefault="002C403D" w:rsidP="001C4A0B">
            <w:pPr>
              <w:jc w:val="center"/>
              <w:rPr>
                <w:rFonts w:ascii="Calibri" w:hAnsi="Calibri" w:cs="Calibri"/>
                <w:b/>
                <w:bCs/>
                <w:color w:val="000000"/>
                <w:sz w:val="18"/>
                <w:szCs w:val="18"/>
              </w:rPr>
            </w:pPr>
            <w:r w:rsidRPr="00E377CE">
              <w:rPr>
                <w:rFonts w:ascii="Calibri" w:hAnsi="Calibri" w:cs="Calibri"/>
                <w:b/>
                <w:bCs/>
                <w:color w:val="000000"/>
                <w:sz w:val="18"/>
                <w:szCs w:val="18"/>
              </w:rPr>
              <w:t>0.004</w:t>
            </w:r>
          </w:p>
        </w:tc>
      </w:tr>
      <w:tr w:rsidR="002C403D" w:rsidRPr="00E377CE" w14:paraId="1AE0CD10" w14:textId="77777777" w:rsidTr="001C4A0B">
        <w:trPr>
          <w:trHeight w:val="330"/>
        </w:trPr>
        <w:tc>
          <w:tcPr>
            <w:tcW w:w="5490" w:type="dxa"/>
            <w:gridSpan w:val="2"/>
            <w:tcBorders>
              <w:top w:val="single" w:sz="8" w:space="0" w:color="auto"/>
              <w:left w:val="single" w:sz="8" w:space="0" w:color="auto"/>
              <w:bottom w:val="single" w:sz="8" w:space="0" w:color="auto"/>
              <w:right w:val="nil"/>
            </w:tcBorders>
            <w:shd w:val="clear" w:color="auto" w:fill="auto"/>
            <w:noWrap/>
            <w:vAlign w:val="center"/>
            <w:hideMark/>
          </w:tcPr>
          <w:p w14:paraId="54256CD5" w14:textId="77777777" w:rsidR="002C403D" w:rsidRPr="00E377CE" w:rsidRDefault="002C403D" w:rsidP="001C4A0B">
            <w:pPr>
              <w:rPr>
                <w:rFonts w:ascii="Calibri" w:hAnsi="Calibri" w:cs="Calibri"/>
                <w:b/>
                <w:bCs/>
                <w:color w:val="000000"/>
                <w:sz w:val="18"/>
                <w:szCs w:val="18"/>
              </w:rPr>
            </w:pPr>
            <w:r w:rsidRPr="00E377CE">
              <w:rPr>
                <w:rFonts w:ascii="Calibri" w:hAnsi="Calibri" w:cs="Calibri"/>
                <w:b/>
                <w:bCs/>
                <w:color w:val="000000"/>
                <w:sz w:val="18"/>
                <w:szCs w:val="18"/>
              </w:rPr>
              <w:t>Substance use and overdose</w:t>
            </w:r>
          </w:p>
        </w:tc>
        <w:tc>
          <w:tcPr>
            <w:tcW w:w="1260" w:type="dxa"/>
            <w:tcBorders>
              <w:top w:val="single" w:sz="8" w:space="0" w:color="auto"/>
              <w:left w:val="nil"/>
              <w:bottom w:val="single" w:sz="8" w:space="0" w:color="auto"/>
              <w:right w:val="nil"/>
            </w:tcBorders>
            <w:shd w:val="clear" w:color="auto" w:fill="auto"/>
            <w:noWrap/>
            <w:vAlign w:val="bottom"/>
            <w:hideMark/>
          </w:tcPr>
          <w:p w14:paraId="3ACD051D"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 </w:t>
            </w:r>
          </w:p>
        </w:tc>
        <w:tc>
          <w:tcPr>
            <w:tcW w:w="1080" w:type="dxa"/>
            <w:tcBorders>
              <w:top w:val="single" w:sz="8" w:space="0" w:color="auto"/>
              <w:left w:val="nil"/>
              <w:bottom w:val="single" w:sz="8" w:space="0" w:color="auto"/>
              <w:right w:val="nil"/>
            </w:tcBorders>
            <w:shd w:val="clear" w:color="auto" w:fill="auto"/>
            <w:noWrap/>
            <w:vAlign w:val="bottom"/>
            <w:hideMark/>
          </w:tcPr>
          <w:p w14:paraId="664A0C4A"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 </w:t>
            </w:r>
          </w:p>
        </w:tc>
        <w:tc>
          <w:tcPr>
            <w:tcW w:w="810" w:type="dxa"/>
            <w:tcBorders>
              <w:top w:val="single" w:sz="8" w:space="0" w:color="auto"/>
              <w:left w:val="nil"/>
              <w:bottom w:val="single" w:sz="8" w:space="0" w:color="auto"/>
              <w:right w:val="nil"/>
            </w:tcBorders>
            <w:shd w:val="clear" w:color="auto" w:fill="auto"/>
            <w:noWrap/>
            <w:vAlign w:val="bottom"/>
            <w:hideMark/>
          </w:tcPr>
          <w:p w14:paraId="41C65C28"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 </w:t>
            </w:r>
          </w:p>
        </w:tc>
        <w:tc>
          <w:tcPr>
            <w:tcW w:w="1170" w:type="dxa"/>
            <w:tcBorders>
              <w:top w:val="single" w:sz="8" w:space="0" w:color="auto"/>
              <w:left w:val="nil"/>
              <w:bottom w:val="single" w:sz="8" w:space="0" w:color="auto"/>
              <w:right w:val="nil"/>
            </w:tcBorders>
            <w:shd w:val="clear" w:color="auto" w:fill="auto"/>
            <w:noWrap/>
            <w:vAlign w:val="bottom"/>
            <w:hideMark/>
          </w:tcPr>
          <w:p w14:paraId="71CA4C3C"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 </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14:paraId="78DB949A"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 </w:t>
            </w:r>
          </w:p>
        </w:tc>
      </w:tr>
      <w:tr w:rsidR="002C403D" w:rsidRPr="00E377CE" w14:paraId="0063972C" w14:textId="77777777" w:rsidTr="001C4A0B">
        <w:trPr>
          <w:trHeight w:val="315"/>
        </w:trPr>
        <w:tc>
          <w:tcPr>
            <w:tcW w:w="4320" w:type="dxa"/>
            <w:tcBorders>
              <w:top w:val="nil"/>
              <w:left w:val="single" w:sz="8" w:space="0" w:color="auto"/>
              <w:bottom w:val="nil"/>
              <w:right w:val="nil"/>
            </w:tcBorders>
            <w:shd w:val="clear" w:color="auto" w:fill="auto"/>
            <w:noWrap/>
            <w:vAlign w:val="center"/>
            <w:hideMark/>
          </w:tcPr>
          <w:p w14:paraId="3D278EB1" w14:textId="77777777" w:rsidR="002C403D" w:rsidRPr="00E377CE" w:rsidRDefault="002C403D" w:rsidP="001C4A0B">
            <w:pPr>
              <w:rPr>
                <w:rFonts w:ascii="Calibri" w:hAnsi="Calibri" w:cs="Calibri"/>
                <w:color w:val="000000"/>
                <w:sz w:val="18"/>
                <w:szCs w:val="18"/>
              </w:rPr>
            </w:pPr>
            <w:r w:rsidRPr="00E377CE">
              <w:rPr>
                <w:rFonts w:ascii="Calibri" w:hAnsi="Calibri" w:cs="Calibri"/>
                <w:color w:val="000000"/>
                <w:sz w:val="18"/>
                <w:szCs w:val="18"/>
              </w:rPr>
              <w:t>Daily cocaine use, past 3 months</w:t>
            </w:r>
          </w:p>
        </w:tc>
        <w:tc>
          <w:tcPr>
            <w:tcW w:w="1170" w:type="dxa"/>
            <w:tcBorders>
              <w:top w:val="nil"/>
              <w:left w:val="nil"/>
              <w:bottom w:val="nil"/>
              <w:right w:val="nil"/>
            </w:tcBorders>
            <w:shd w:val="clear" w:color="auto" w:fill="auto"/>
            <w:noWrap/>
            <w:vAlign w:val="bottom"/>
            <w:hideMark/>
          </w:tcPr>
          <w:p w14:paraId="3199F8C3"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3.54</w:t>
            </w:r>
          </w:p>
        </w:tc>
        <w:tc>
          <w:tcPr>
            <w:tcW w:w="1260" w:type="dxa"/>
            <w:tcBorders>
              <w:top w:val="nil"/>
              <w:left w:val="nil"/>
              <w:bottom w:val="nil"/>
              <w:right w:val="nil"/>
            </w:tcBorders>
            <w:shd w:val="clear" w:color="auto" w:fill="auto"/>
            <w:noWrap/>
            <w:vAlign w:val="bottom"/>
            <w:hideMark/>
          </w:tcPr>
          <w:p w14:paraId="7AE93038"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2.12 - 5.90</w:t>
            </w:r>
          </w:p>
        </w:tc>
        <w:tc>
          <w:tcPr>
            <w:tcW w:w="1080" w:type="dxa"/>
            <w:tcBorders>
              <w:top w:val="nil"/>
              <w:left w:val="nil"/>
              <w:bottom w:val="nil"/>
              <w:right w:val="nil"/>
            </w:tcBorders>
            <w:shd w:val="clear" w:color="auto" w:fill="auto"/>
            <w:noWrap/>
            <w:vAlign w:val="bottom"/>
            <w:hideMark/>
          </w:tcPr>
          <w:p w14:paraId="5EEBDD50" w14:textId="77777777" w:rsidR="002C403D" w:rsidRPr="00E377CE" w:rsidRDefault="002C403D" w:rsidP="001C4A0B">
            <w:pPr>
              <w:jc w:val="center"/>
              <w:rPr>
                <w:rFonts w:ascii="Calibri" w:hAnsi="Calibri" w:cs="Calibri"/>
                <w:b/>
                <w:bCs/>
                <w:color w:val="000000"/>
                <w:sz w:val="18"/>
                <w:szCs w:val="18"/>
              </w:rPr>
            </w:pPr>
            <w:r w:rsidRPr="00E377CE">
              <w:rPr>
                <w:rFonts w:ascii="Calibri" w:hAnsi="Calibri" w:cs="Calibri"/>
                <w:b/>
                <w:bCs/>
                <w:color w:val="000000"/>
                <w:sz w:val="18"/>
                <w:szCs w:val="18"/>
              </w:rPr>
              <w:t>0.000</w:t>
            </w:r>
          </w:p>
        </w:tc>
        <w:tc>
          <w:tcPr>
            <w:tcW w:w="810" w:type="dxa"/>
            <w:tcBorders>
              <w:top w:val="nil"/>
              <w:left w:val="nil"/>
              <w:bottom w:val="nil"/>
              <w:right w:val="nil"/>
            </w:tcBorders>
            <w:shd w:val="clear" w:color="auto" w:fill="auto"/>
            <w:noWrap/>
            <w:vAlign w:val="bottom"/>
            <w:hideMark/>
          </w:tcPr>
          <w:p w14:paraId="19962167"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3.59</w:t>
            </w:r>
          </w:p>
        </w:tc>
        <w:tc>
          <w:tcPr>
            <w:tcW w:w="1170" w:type="dxa"/>
            <w:tcBorders>
              <w:top w:val="nil"/>
              <w:left w:val="nil"/>
              <w:bottom w:val="nil"/>
              <w:right w:val="nil"/>
            </w:tcBorders>
            <w:shd w:val="clear" w:color="auto" w:fill="auto"/>
            <w:noWrap/>
            <w:vAlign w:val="bottom"/>
            <w:hideMark/>
          </w:tcPr>
          <w:p w14:paraId="2F8C3001"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1.98 - 6.49</w:t>
            </w:r>
          </w:p>
        </w:tc>
        <w:tc>
          <w:tcPr>
            <w:tcW w:w="900" w:type="dxa"/>
            <w:tcBorders>
              <w:top w:val="nil"/>
              <w:left w:val="nil"/>
              <w:bottom w:val="nil"/>
              <w:right w:val="single" w:sz="8" w:space="0" w:color="auto"/>
            </w:tcBorders>
            <w:shd w:val="clear" w:color="auto" w:fill="auto"/>
            <w:noWrap/>
            <w:vAlign w:val="bottom"/>
            <w:hideMark/>
          </w:tcPr>
          <w:p w14:paraId="301A6A0F" w14:textId="77777777" w:rsidR="002C403D" w:rsidRPr="00E377CE" w:rsidRDefault="002C403D" w:rsidP="001C4A0B">
            <w:pPr>
              <w:jc w:val="center"/>
              <w:rPr>
                <w:rFonts w:ascii="Calibri" w:hAnsi="Calibri" w:cs="Calibri"/>
                <w:b/>
                <w:bCs/>
                <w:color w:val="000000"/>
                <w:sz w:val="18"/>
                <w:szCs w:val="18"/>
              </w:rPr>
            </w:pPr>
            <w:r w:rsidRPr="00E377CE">
              <w:rPr>
                <w:rFonts w:ascii="Calibri" w:hAnsi="Calibri" w:cs="Calibri"/>
                <w:b/>
                <w:bCs/>
                <w:color w:val="000000"/>
                <w:sz w:val="18"/>
                <w:szCs w:val="18"/>
              </w:rPr>
              <w:t>0.000</w:t>
            </w:r>
          </w:p>
        </w:tc>
      </w:tr>
      <w:tr w:rsidR="002C403D" w:rsidRPr="00E377CE" w14:paraId="6FA393FD" w14:textId="77777777" w:rsidTr="001C4A0B">
        <w:trPr>
          <w:trHeight w:val="315"/>
        </w:trPr>
        <w:tc>
          <w:tcPr>
            <w:tcW w:w="4320" w:type="dxa"/>
            <w:tcBorders>
              <w:top w:val="nil"/>
              <w:left w:val="single" w:sz="8" w:space="0" w:color="auto"/>
              <w:bottom w:val="nil"/>
              <w:right w:val="nil"/>
            </w:tcBorders>
            <w:shd w:val="clear" w:color="auto" w:fill="auto"/>
            <w:noWrap/>
            <w:vAlign w:val="center"/>
            <w:hideMark/>
          </w:tcPr>
          <w:p w14:paraId="07AB1EAC" w14:textId="77777777" w:rsidR="002C403D" w:rsidRPr="00E377CE" w:rsidRDefault="002C403D" w:rsidP="001C4A0B">
            <w:pPr>
              <w:rPr>
                <w:rFonts w:ascii="Calibri" w:hAnsi="Calibri" w:cs="Calibri"/>
                <w:color w:val="000000"/>
                <w:sz w:val="18"/>
                <w:szCs w:val="18"/>
              </w:rPr>
            </w:pPr>
            <w:r w:rsidRPr="00E377CE">
              <w:rPr>
                <w:rFonts w:ascii="Calibri" w:hAnsi="Calibri" w:cs="Calibri"/>
                <w:color w:val="000000"/>
                <w:sz w:val="18"/>
                <w:szCs w:val="18"/>
              </w:rPr>
              <w:t>Daily crack use, past 3 months</w:t>
            </w:r>
          </w:p>
        </w:tc>
        <w:tc>
          <w:tcPr>
            <w:tcW w:w="1170" w:type="dxa"/>
            <w:tcBorders>
              <w:top w:val="nil"/>
              <w:left w:val="nil"/>
              <w:bottom w:val="nil"/>
              <w:right w:val="nil"/>
            </w:tcBorders>
            <w:shd w:val="clear" w:color="auto" w:fill="auto"/>
            <w:noWrap/>
            <w:vAlign w:val="bottom"/>
            <w:hideMark/>
          </w:tcPr>
          <w:p w14:paraId="4AC45BFD"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2.02</w:t>
            </w:r>
          </w:p>
        </w:tc>
        <w:tc>
          <w:tcPr>
            <w:tcW w:w="1260" w:type="dxa"/>
            <w:tcBorders>
              <w:top w:val="nil"/>
              <w:left w:val="nil"/>
              <w:bottom w:val="nil"/>
              <w:right w:val="nil"/>
            </w:tcBorders>
            <w:shd w:val="clear" w:color="auto" w:fill="auto"/>
            <w:noWrap/>
            <w:vAlign w:val="bottom"/>
            <w:hideMark/>
          </w:tcPr>
          <w:p w14:paraId="6A09E745"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1.27 - 3.22</w:t>
            </w:r>
          </w:p>
        </w:tc>
        <w:tc>
          <w:tcPr>
            <w:tcW w:w="1080" w:type="dxa"/>
            <w:tcBorders>
              <w:top w:val="nil"/>
              <w:left w:val="nil"/>
              <w:bottom w:val="nil"/>
              <w:right w:val="nil"/>
            </w:tcBorders>
            <w:shd w:val="clear" w:color="auto" w:fill="auto"/>
            <w:noWrap/>
            <w:vAlign w:val="bottom"/>
            <w:hideMark/>
          </w:tcPr>
          <w:p w14:paraId="18FA21FA" w14:textId="77777777" w:rsidR="002C403D" w:rsidRPr="00E377CE" w:rsidRDefault="002C403D" w:rsidP="001C4A0B">
            <w:pPr>
              <w:jc w:val="center"/>
              <w:rPr>
                <w:rFonts w:ascii="Calibri" w:hAnsi="Calibri" w:cs="Calibri"/>
                <w:b/>
                <w:bCs/>
                <w:color w:val="000000"/>
                <w:sz w:val="18"/>
                <w:szCs w:val="18"/>
              </w:rPr>
            </w:pPr>
            <w:r w:rsidRPr="00E377CE">
              <w:rPr>
                <w:rFonts w:ascii="Calibri" w:hAnsi="Calibri" w:cs="Calibri"/>
                <w:b/>
                <w:bCs/>
                <w:color w:val="000000"/>
                <w:sz w:val="18"/>
                <w:szCs w:val="18"/>
              </w:rPr>
              <w:t>0.003</w:t>
            </w:r>
          </w:p>
        </w:tc>
        <w:tc>
          <w:tcPr>
            <w:tcW w:w="810" w:type="dxa"/>
            <w:tcBorders>
              <w:top w:val="nil"/>
              <w:left w:val="nil"/>
              <w:bottom w:val="nil"/>
              <w:right w:val="nil"/>
            </w:tcBorders>
            <w:shd w:val="clear" w:color="auto" w:fill="auto"/>
            <w:noWrap/>
            <w:vAlign w:val="bottom"/>
            <w:hideMark/>
          </w:tcPr>
          <w:p w14:paraId="4EF63A7A"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1.33</w:t>
            </w:r>
          </w:p>
        </w:tc>
        <w:tc>
          <w:tcPr>
            <w:tcW w:w="1170" w:type="dxa"/>
            <w:tcBorders>
              <w:top w:val="nil"/>
              <w:left w:val="nil"/>
              <w:bottom w:val="nil"/>
              <w:right w:val="nil"/>
            </w:tcBorders>
            <w:shd w:val="clear" w:color="auto" w:fill="auto"/>
            <w:noWrap/>
            <w:vAlign w:val="bottom"/>
            <w:hideMark/>
          </w:tcPr>
          <w:p w14:paraId="572E3F2C"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0.78 - 2.25</w:t>
            </w:r>
          </w:p>
        </w:tc>
        <w:tc>
          <w:tcPr>
            <w:tcW w:w="900" w:type="dxa"/>
            <w:tcBorders>
              <w:top w:val="nil"/>
              <w:left w:val="nil"/>
              <w:bottom w:val="nil"/>
              <w:right w:val="single" w:sz="8" w:space="0" w:color="auto"/>
            </w:tcBorders>
            <w:shd w:val="clear" w:color="auto" w:fill="auto"/>
            <w:noWrap/>
            <w:vAlign w:val="bottom"/>
            <w:hideMark/>
          </w:tcPr>
          <w:p w14:paraId="243A678F"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0.295</w:t>
            </w:r>
          </w:p>
        </w:tc>
      </w:tr>
      <w:tr w:rsidR="002C403D" w:rsidRPr="00E377CE" w14:paraId="0E0719C4" w14:textId="77777777" w:rsidTr="001C4A0B">
        <w:trPr>
          <w:trHeight w:val="315"/>
        </w:trPr>
        <w:tc>
          <w:tcPr>
            <w:tcW w:w="4320" w:type="dxa"/>
            <w:tcBorders>
              <w:top w:val="nil"/>
              <w:left w:val="single" w:sz="8" w:space="0" w:color="auto"/>
              <w:bottom w:val="nil"/>
              <w:right w:val="nil"/>
            </w:tcBorders>
            <w:shd w:val="clear" w:color="auto" w:fill="auto"/>
            <w:noWrap/>
            <w:vAlign w:val="center"/>
            <w:hideMark/>
          </w:tcPr>
          <w:p w14:paraId="71715634" w14:textId="77777777" w:rsidR="002C403D" w:rsidRPr="00E377CE" w:rsidRDefault="002C403D" w:rsidP="001C4A0B">
            <w:pPr>
              <w:rPr>
                <w:rFonts w:ascii="Calibri" w:hAnsi="Calibri" w:cs="Calibri"/>
                <w:color w:val="000000"/>
                <w:sz w:val="18"/>
                <w:szCs w:val="18"/>
              </w:rPr>
            </w:pPr>
            <w:r w:rsidRPr="00E377CE">
              <w:rPr>
                <w:rFonts w:ascii="Calibri" w:hAnsi="Calibri" w:cs="Calibri"/>
                <w:color w:val="000000"/>
                <w:sz w:val="18"/>
                <w:szCs w:val="18"/>
              </w:rPr>
              <w:t>Daily synthetic cannabinoid use, past 3 months</w:t>
            </w:r>
          </w:p>
        </w:tc>
        <w:tc>
          <w:tcPr>
            <w:tcW w:w="1170" w:type="dxa"/>
            <w:tcBorders>
              <w:top w:val="nil"/>
              <w:left w:val="nil"/>
              <w:bottom w:val="nil"/>
              <w:right w:val="nil"/>
            </w:tcBorders>
            <w:shd w:val="clear" w:color="auto" w:fill="auto"/>
            <w:noWrap/>
            <w:vAlign w:val="bottom"/>
            <w:hideMark/>
          </w:tcPr>
          <w:p w14:paraId="24050E7D"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3.23</w:t>
            </w:r>
          </w:p>
        </w:tc>
        <w:tc>
          <w:tcPr>
            <w:tcW w:w="1260" w:type="dxa"/>
            <w:tcBorders>
              <w:top w:val="nil"/>
              <w:left w:val="nil"/>
              <w:bottom w:val="nil"/>
              <w:right w:val="nil"/>
            </w:tcBorders>
            <w:shd w:val="clear" w:color="auto" w:fill="auto"/>
            <w:noWrap/>
            <w:vAlign w:val="bottom"/>
            <w:hideMark/>
          </w:tcPr>
          <w:p w14:paraId="7109A627"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1.62 - 6.42</w:t>
            </w:r>
          </w:p>
        </w:tc>
        <w:tc>
          <w:tcPr>
            <w:tcW w:w="1080" w:type="dxa"/>
            <w:tcBorders>
              <w:top w:val="nil"/>
              <w:left w:val="nil"/>
              <w:bottom w:val="nil"/>
              <w:right w:val="nil"/>
            </w:tcBorders>
            <w:shd w:val="clear" w:color="auto" w:fill="auto"/>
            <w:noWrap/>
            <w:vAlign w:val="bottom"/>
            <w:hideMark/>
          </w:tcPr>
          <w:p w14:paraId="1A3810B8" w14:textId="77777777" w:rsidR="002C403D" w:rsidRPr="00E377CE" w:rsidRDefault="002C403D" w:rsidP="001C4A0B">
            <w:pPr>
              <w:jc w:val="center"/>
              <w:rPr>
                <w:rFonts w:ascii="Calibri" w:hAnsi="Calibri" w:cs="Calibri"/>
                <w:b/>
                <w:bCs/>
                <w:color w:val="000000"/>
                <w:sz w:val="18"/>
                <w:szCs w:val="18"/>
              </w:rPr>
            </w:pPr>
            <w:r w:rsidRPr="00E377CE">
              <w:rPr>
                <w:rFonts w:ascii="Calibri" w:hAnsi="Calibri" w:cs="Calibri"/>
                <w:b/>
                <w:bCs/>
                <w:color w:val="000000"/>
                <w:sz w:val="18"/>
                <w:szCs w:val="18"/>
              </w:rPr>
              <w:t>0.001</w:t>
            </w:r>
          </w:p>
        </w:tc>
        <w:tc>
          <w:tcPr>
            <w:tcW w:w="810" w:type="dxa"/>
            <w:tcBorders>
              <w:top w:val="nil"/>
              <w:left w:val="nil"/>
              <w:bottom w:val="nil"/>
              <w:right w:val="nil"/>
            </w:tcBorders>
            <w:shd w:val="clear" w:color="auto" w:fill="auto"/>
            <w:noWrap/>
            <w:vAlign w:val="bottom"/>
            <w:hideMark/>
          </w:tcPr>
          <w:p w14:paraId="73E621B5"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3.09</w:t>
            </w:r>
          </w:p>
        </w:tc>
        <w:tc>
          <w:tcPr>
            <w:tcW w:w="1170" w:type="dxa"/>
            <w:tcBorders>
              <w:top w:val="nil"/>
              <w:left w:val="nil"/>
              <w:bottom w:val="nil"/>
              <w:right w:val="nil"/>
            </w:tcBorders>
            <w:shd w:val="clear" w:color="auto" w:fill="auto"/>
            <w:noWrap/>
            <w:vAlign w:val="bottom"/>
            <w:hideMark/>
          </w:tcPr>
          <w:p w14:paraId="5EA805CD"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1.39 - 6.90</w:t>
            </w:r>
          </w:p>
        </w:tc>
        <w:tc>
          <w:tcPr>
            <w:tcW w:w="900" w:type="dxa"/>
            <w:tcBorders>
              <w:top w:val="nil"/>
              <w:left w:val="nil"/>
              <w:bottom w:val="nil"/>
              <w:right w:val="single" w:sz="8" w:space="0" w:color="auto"/>
            </w:tcBorders>
            <w:shd w:val="clear" w:color="auto" w:fill="auto"/>
            <w:noWrap/>
            <w:vAlign w:val="bottom"/>
            <w:hideMark/>
          </w:tcPr>
          <w:p w14:paraId="6EF37CC9" w14:textId="77777777" w:rsidR="002C403D" w:rsidRPr="00E377CE" w:rsidRDefault="002C403D" w:rsidP="001C4A0B">
            <w:pPr>
              <w:jc w:val="center"/>
              <w:rPr>
                <w:rFonts w:ascii="Calibri" w:hAnsi="Calibri" w:cs="Calibri"/>
                <w:b/>
                <w:bCs/>
                <w:color w:val="000000"/>
                <w:sz w:val="18"/>
                <w:szCs w:val="18"/>
              </w:rPr>
            </w:pPr>
            <w:r w:rsidRPr="00E377CE">
              <w:rPr>
                <w:rFonts w:ascii="Calibri" w:hAnsi="Calibri" w:cs="Calibri"/>
                <w:b/>
                <w:bCs/>
                <w:color w:val="000000"/>
                <w:sz w:val="18"/>
                <w:szCs w:val="18"/>
              </w:rPr>
              <w:t>0.006</w:t>
            </w:r>
          </w:p>
        </w:tc>
      </w:tr>
      <w:tr w:rsidR="002C403D" w:rsidRPr="00E377CE" w14:paraId="24683E3A" w14:textId="77777777" w:rsidTr="001C4A0B">
        <w:trPr>
          <w:trHeight w:val="315"/>
        </w:trPr>
        <w:tc>
          <w:tcPr>
            <w:tcW w:w="4320" w:type="dxa"/>
            <w:tcBorders>
              <w:top w:val="nil"/>
              <w:left w:val="single" w:sz="8" w:space="0" w:color="auto"/>
              <w:bottom w:val="nil"/>
              <w:right w:val="nil"/>
            </w:tcBorders>
            <w:shd w:val="clear" w:color="auto" w:fill="auto"/>
            <w:noWrap/>
            <w:vAlign w:val="center"/>
            <w:hideMark/>
          </w:tcPr>
          <w:p w14:paraId="417439A9" w14:textId="77777777" w:rsidR="002C403D" w:rsidRPr="00E377CE" w:rsidRDefault="002C403D" w:rsidP="001C4A0B">
            <w:pPr>
              <w:rPr>
                <w:rFonts w:ascii="Calibri" w:hAnsi="Calibri" w:cs="Calibri"/>
                <w:color w:val="000000"/>
                <w:sz w:val="18"/>
                <w:szCs w:val="18"/>
              </w:rPr>
            </w:pPr>
            <w:r w:rsidRPr="00E377CE">
              <w:rPr>
                <w:rFonts w:ascii="Calibri" w:hAnsi="Calibri" w:cs="Calibri"/>
                <w:color w:val="000000"/>
                <w:sz w:val="18"/>
                <w:szCs w:val="18"/>
              </w:rPr>
              <w:t>Drinks alcohol 4+ times per week, past 3 months</w:t>
            </w:r>
          </w:p>
        </w:tc>
        <w:tc>
          <w:tcPr>
            <w:tcW w:w="1170" w:type="dxa"/>
            <w:tcBorders>
              <w:top w:val="nil"/>
              <w:left w:val="nil"/>
              <w:bottom w:val="nil"/>
              <w:right w:val="nil"/>
            </w:tcBorders>
            <w:shd w:val="clear" w:color="auto" w:fill="auto"/>
            <w:noWrap/>
            <w:vAlign w:val="bottom"/>
            <w:hideMark/>
          </w:tcPr>
          <w:p w14:paraId="22D4F0D9"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1.13</w:t>
            </w:r>
          </w:p>
        </w:tc>
        <w:tc>
          <w:tcPr>
            <w:tcW w:w="1260" w:type="dxa"/>
            <w:tcBorders>
              <w:top w:val="nil"/>
              <w:left w:val="nil"/>
              <w:bottom w:val="nil"/>
              <w:right w:val="nil"/>
            </w:tcBorders>
            <w:shd w:val="clear" w:color="auto" w:fill="auto"/>
            <w:noWrap/>
            <w:vAlign w:val="bottom"/>
            <w:hideMark/>
          </w:tcPr>
          <w:p w14:paraId="5E287040"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0.68 - 1.88</w:t>
            </w:r>
          </w:p>
        </w:tc>
        <w:tc>
          <w:tcPr>
            <w:tcW w:w="1080" w:type="dxa"/>
            <w:tcBorders>
              <w:top w:val="nil"/>
              <w:left w:val="nil"/>
              <w:bottom w:val="nil"/>
              <w:right w:val="nil"/>
            </w:tcBorders>
            <w:shd w:val="clear" w:color="auto" w:fill="auto"/>
            <w:noWrap/>
            <w:vAlign w:val="bottom"/>
            <w:hideMark/>
          </w:tcPr>
          <w:p w14:paraId="506722A9"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0.646</w:t>
            </w:r>
          </w:p>
        </w:tc>
        <w:tc>
          <w:tcPr>
            <w:tcW w:w="810" w:type="dxa"/>
            <w:tcBorders>
              <w:top w:val="nil"/>
              <w:left w:val="nil"/>
              <w:bottom w:val="nil"/>
              <w:right w:val="nil"/>
            </w:tcBorders>
            <w:shd w:val="clear" w:color="auto" w:fill="auto"/>
            <w:noWrap/>
            <w:vAlign w:val="bottom"/>
            <w:hideMark/>
          </w:tcPr>
          <w:p w14:paraId="1FA99E50"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1.21</w:t>
            </w:r>
          </w:p>
        </w:tc>
        <w:tc>
          <w:tcPr>
            <w:tcW w:w="1170" w:type="dxa"/>
            <w:tcBorders>
              <w:top w:val="nil"/>
              <w:left w:val="nil"/>
              <w:bottom w:val="nil"/>
              <w:right w:val="nil"/>
            </w:tcBorders>
            <w:shd w:val="clear" w:color="auto" w:fill="auto"/>
            <w:noWrap/>
            <w:vAlign w:val="bottom"/>
            <w:hideMark/>
          </w:tcPr>
          <w:p w14:paraId="492B32A3"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0.68 - 2.14</w:t>
            </w:r>
          </w:p>
        </w:tc>
        <w:tc>
          <w:tcPr>
            <w:tcW w:w="900" w:type="dxa"/>
            <w:tcBorders>
              <w:top w:val="nil"/>
              <w:left w:val="nil"/>
              <w:bottom w:val="nil"/>
              <w:right w:val="single" w:sz="8" w:space="0" w:color="auto"/>
            </w:tcBorders>
            <w:shd w:val="clear" w:color="auto" w:fill="auto"/>
            <w:noWrap/>
            <w:vAlign w:val="bottom"/>
            <w:hideMark/>
          </w:tcPr>
          <w:p w14:paraId="19426D4F"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0.524</w:t>
            </w:r>
          </w:p>
        </w:tc>
      </w:tr>
      <w:tr w:rsidR="002C403D" w:rsidRPr="00E377CE" w14:paraId="407FA00E" w14:textId="77777777" w:rsidTr="002150E9">
        <w:trPr>
          <w:trHeight w:val="315"/>
        </w:trPr>
        <w:tc>
          <w:tcPr>
            <w:tcW w:w="4320" w:type="dxa"/>
            <w:tcBorders>
              <w:top w:val="nil"/>
              <w:left w:val="single" w:sz="8" w:space="0" w:color="auto"/>
              <w:right w:val="nil"/>
            </w:tcBorders>
            <w:shd w:val="clear" w:color="auto" w:fill="auto"/>
            <w:noWrap/>
            <w:vAlign w:val="center"/>
            <w:hideMark/>
          </w:tcPr>
          <w:p w14:paraId="4E27F855" w14:textId="77777777" w:rsidR="002C403D" w:rsidRPr="00E377CE" w:rsidRDefault="002C403D" w:rsidP="001C4A0B">
            <w:pPr>
              <w:rPr>
                <w:rFonts w:ascii="Calibri" w:hAnsi="Calibri" w:cs="Calibri"/>
                <w:color w:val="000000"/>
                <w:sz w:val="18"/>
                <w:szCs w:val="18"/>
              </w:rPr>
            </w:pPr>
            <w:r w:rsidRPr="00E377CE">
              <w:rPr>
                <w:rFonts w:ascii="Calibri" w:hAnsi="Calibri" w:cs="Calibri"/>
                <w:color w:val="000000"/>
                <w:sz w:val="18"/>
                <w:szCs w:val="18"/>
              </w:rPr>
              <w:t>Any injection drug use, past 3 months</w:t>
            </w:r>
          </w:p>
        </w:tc>
        <w:tc>
          <w:tcPr>
            <w:tcW w:w="1170" w:type="dxa"/>
            <w:tcBorders>
              <w:top w:val="nil"/>
              <w:left w:val="nil"/>
              <w:right w:val="nil"/>
            </w:tcBorders>
            <w:shd w:val="clear" w:color="auto" w:fill="auto"/>
            <w:noWrap/>
            <w:vAlign w:val="bottom"/>
            <w:hideMark/>
          </w:tcPr>
          <w:p w14:paraId="6E6EB6BC"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1.79</w:t>
            </w:r>
          </w:p>
        </w:tc>
        <w:tc>
          <w:tcPr>
            <w:tcW w:w="1260" w:type="dxa"/>
            <w:tcBorders>
              <w:top w:val="nil"/>
              <w:left w:val="nil"/>
              <w:right w:val="nil"/>
            </w:tcBorders>
            <w:shd w:val="clear" w:color="auto" w:fill="auto"/>
            <w:noWrap/>
            <w:vAlign w:val="bottom"/>
            <w:hideMark/>
          </w:tcPr>
          <w:p w14:paraId="28652CAE"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1.12 - 2.87</w:t>
            </w:r>
          </w:p>
        </w:tc>
        <w:tc>
          <w:tcPr>
            <w:tcW w:w="1080" w:type="dxa"/>
            <w:tcBorders>
              <w:top w:val="nil"/>
              <w:left w:val="nil"/>
              <w:right w:val="nil"/>
            </w:tcBorders>
            <w:shd w:val="clear" w:color="auto" w:fill="auto"/>
            <w:noWrap/>
            <w:vAlign w:val="bottom"/>
            <w:hideMark/>
          </w:tcPr>
          <w:p w14:paraId="4C6FD5B8" w14:textId="77777777" w:rsidR="002C403D" w:rsidRPr="000836C1" w:rsidRDefault="002C403D" w:rsidP="001C4A0B">
            <w:pPr>
              <w:jc w:val="center"/>
              <w:rPr>
                <w:rFonts w:ascii="Calibri" w:hAnsi="Calibri" w:cs="Calibri"/>
                <w:b/>
                <w:bCs/>
                <w:color w:val="000000"/>
                <w:sz w:val="18"/>
                <w:szCs w:val="18"/>
              </w:rPr>
            </w:pPr>
            <w:r w:rsidRPr="000836C1">
              <w:rPr>
                <w:rFonts w:ascii="Calibri" w:hAnsi="Calibri" w:cs="Calibri"/>
                <w:b/>
                <w:bCs/>
                <w:color w:val="000000"/>
                <w:sz w:val="18"/>
                <w:szCs w:val="18"/>
              </w:rPr>
              <w:t>0.015</w:t>
            </w:r>
          </w:p>
        </w:tc>
        <w:tc>
          <w:tcPr>
            <w:tcW w:w="810" w:type="dxa"/>
            <w:tcBorders>
              <w:top w:val="nil"/>
              <w:left w:val="nil"/>
              <w:right w:val="nil"/>
            </w:tcBorders>
            <w:shd w:val="clear" w:color="auto" w:fill="auto"/>
            <w:noWrap/>
            <w:vAlign w:val="bottom"/>
            <w:hideMark/>
          </w:tcPr>
          <w:p w14:paraId="7966CAC2"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0.99</w:t>
            </w:r>
          </w:p>
        </w:tc>
        <w:tc>
          <w:tcPr>
            <w:tcW w:w="1170" w:type="dxa"/>
            <w:tcBorders>
              <w:top w:val="nil"/>
              <w:left w:val="nil"/>
              <w:right w:val="nil"/>
            </w:tcBorders>
            <w:shd w:val="clear" w:color="auto" w:fill="auto"/>
            <w:noWrap/>
            <w:vAlign w:val="bottom"/>
            <w:hideMark/>
          </w:tcPr>
          <w:p w14:paraId="777D6949"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0.55 - 1.78</w:t>
            </w:r>
          </w:p>
        </w:tc>
        <w:tc>
          <w:tcPr>
            <w:tcW w:w="900" w:type="dxa"/>
            <w:tcBorders>
              <w:top w:val="nil"/>
              <w:left w:val="nil"/>
              <w:right w:val="single" w:sz="8" w:space="0" w:color="auto"/>
            </w:tcBorders>
            <w:shd w:val="clear" w:color="auto" w:fill="auto"/>
            <w:noWrap/>
            <w:vAlign w:val="bottom"/>
            <w:hideMark/>
          </w:tcPr>
          <w:p w14:paraId="213D1C9E"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0.971</w:t>
            </w:r>
          </w:p>
        </w:tc>
      </w:tr>
      <w:tr w:rsidR="002C403D" w:rsidRPr="00E377CE" w14:paraId="5C4B6C73" w14:textId="77777777" w:rsidTr="002150E9">
        <w:trPr>
          <w:trHeight w:val="315"/>
        </w:trPr>
        <w:tc>
          <w:tcPr>
            <w:tcW w:w="4320" w:type="dxa"/>
            <w:tcBorders>
              <w:top w:val="nil"/>
              <w:left w:val="single" w:sz="8" w:space="0" w:color="auto"/>
              <w:bottom w:val="single" w:sz="8" w:space="0" w:color="auto"/>
              <w:right w:val="nil"/>
            </w:tcBorders>
            <w:shd w:val="clear" w:color="auto" w:fill="auto"/>
            <w:noWrap/>
            <w:vAlign w:val="center"/>
            <w:hideMark/>
          </w:tcPr>
          <w:p w14:paraId="7B2C1DF0" w14:textId="77777777" w:rsidR="002C403D" w:rsidRPr="00E377CE" w:rsidRDefault="002C403D" w:rsidP="001C4A0B">
            <w:pPr>
              <w:rPr>
                <w:rFonts w:ascii="Calibri" w:hAnsi="Calibri" w:cs="Calibri"/>
                <w:color w:val="000000"/>
                <w:sz w:val="18"/>
                <w:szCs w:val="18"/>
              </w:rPr>
            </w:pPr>
            <w:r w:rsidRPr="00E377CE">
              <w:rPr>
                <w:rFonts w:ascii="Calibri" w:hAnsi="Calibri" w:cs="Calibri"/>
                <w:color w:val="000000"/>
                <w:sz w:val="18"/>
                <w:szCs w:val="18"/>
              </w:rPr>
              <w:t>Overdose, past 3 months</w:t>
            </w:r>
          </w:p>
        </w:tc>
        <w:tc>
          <w:tcPr>
            <w:tcW w:w="1170" w:type="dxa"/>
            <w:tcBorders>
              <w:top w:val="nil"/>
              <w:left w:val="nil"/>
              <w:bottom w:val="single" w:sz="8" w:space="0" w:color="auto"/>
              <w:right w:val="nil"/>
            </w:tcBorders>
            <w:shd w:val="clear" w:color="auto" w:fill="auto"/>
            <w:noWrap/>
            <w:vAlign w:val="bottom"/>
            <w:hideMark/>
          </w:tcPr>
          <w:p w14:paraId="66856CC2"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1.57</w:t>
            </w:r>
          </w:p>
        </w:tc>
        <w:tc>
          <w:tcPr>
            <w:tcW w:w="1260" w:type="dxa"/>
            <w:tcBorders>
              <w:top w:val="nil"/>
              <w:left w:val="nil"/>
              <w:bottom w:val="single" w:sz="8" w:space="0" w:color="auto"/>
              <w:right w:val="nil"/>
            </w:tcBorders>
            <w:shd w:val="clear" w:color="auto" w:fill="auto"/>
            <w:noWrap/>
            <w:vAlign w:val="bottom"/>
            <w:hideMark/>
          </w:tcPr>
          <w:p w14:paraId="27AA2FF6"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0.88 - 2.81</w:t>
            </w:r>
          </w:p>
        </w:tc>
        <w:tc>
          <w:tcPr>
            <w:tcW w:w="1080" w:type="dxa"/>
            <w:tcBorders>
              <w:top w:val="nil"/>
              <w:left w:val="nil"/>
              <w:bottom w:val="single" w:sz="8" w:space="0" w:color="auto"/>
              <w:right w:val="nil"/>
            </w:tcBorders>
            <w:shd w:val="clear" w:color="auto" w:fill="auto"/>
            <w:noWrap/>
            <w:vAlign w:val="bottom"/>
            <w:hideMark/>
          </w:tcPr>
          <w:p w14:paraId="46FEAFE8"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0.129</w:t>
            </w:r>
          </w:p>
        </w:tc>
        <w:tc>
          <w:tcPr>
            <w:tcW w:w="810" w:type="dxa"/>
            <w:tcBorders>
              <w:top w:val="nil"/>
              <w:left w:val="nil"/>
              <w:bottom w:val="single" w:sz="8" w:space="0" w:color="auto"/>
              <w:right w:val="nil"/>
            </w:tcBorders>
            <w:shd w:val="clear" w:color="auto" w:fill="auto"/>
            <w:noWrap/>
            <w:vAlign w:val="bottom"/>
            <w:hideMark/>
          </w:tcPr>
          <w:p w14:paraId="33AF3252" w14:textId="77777777" w:rsidR="002C403D" w:rsidRPr="00E377CE" w:rsidRDefault="002C403D" w:rsidP="001C4A0B">
            <w:pPr>
              <w:jc w:val="center"/>
              <w:rPr>
                <w:rFonts w:ascii="Calibri" w:hAnsi="Calibri" w:cs="Calibri"/>
                <w:color w:val="000000"/>
                <w:sz w:val="18"/>
                <w:szCs w:val="18"/>
              </w:rPr>
            </w:pPr>
          </w:p>
        </w:tc>
        <w:tc>
          <w:tcPr>
            <w:tcW w:w="1170" w:type="dxa"/>
            <w:tcBorders>
              <w:top w:val="nil"/>
              <w:left w:val="nil"/>
              <w:bottom w:val="single" w:sz="8" w:space="0" w:color="auto"/>
              <w:right w:val="nil"/>
            </w:tcBorders>
            <w:shd w:val="clear" w:color="auto" w:fill="auto"/>
            <w:noWrap/>
            <w:vAlign w:val="bottom"/>
            <w:hideMark/>
          </w:tcPr>
          <w:p w14:paraId="632A41DD" w14:textId="77777777" w:rsidR="002C403D" w:rsidRPr="00E377CE" w:rsidRDefault="002C403D" w:rsidP="001C4A0B">
            <w:pPr>
              <w:jc w:val="center"/>
              <w:rPr>
                <w:sz w:val="18"/>
                <w:szCs w:val="18"/>
              </w:rPr>
            </w:pPr>
          </w:p>
        </w:tc>
        <w:tc>
          <w:tcPr>
            <w:tcW w:w="900" w:type="dxa"/>
            <w:tcBorders>
              <w:top w:val="nil"/>
              <w:left w:val="nil"/>
              <w:bottom w:val="single" w:sz="8" w:space="0" w:color="auto"/>
              <w:right w:val="single" w:sz="8" w:space="0" w:color="auto"/>
            </w:tcBorders>
            <w:shd w:val="clear" w:color="auto" w:fill="auto"/>
            <w:noWrap/>
            <w:vAlign w:val="bottom"/>
            <w:hideMark/>
          </w:tcPr>
          <w:p w14:paraId="672D9F76" w14:textId="77777777" w:rsidR="002C403D" w:rsidRPr="00E377CE" w:rsidRDefault="002C403D" w:rsidP="001C4A0B">
            <w:pPr>
              <w:jc w:val="center"/>
              <w:rPr>
                <w:rFonts w:ascii="Calibri" w:hAnsi="Calibri" w:cs="Calibri"/>
                <w:color w:val="000000"/>
                <w:sz w:val="18"/>
                <w:szCs w:val="18"/>
              </w:rPr>
            </w:pPr>
            <w:r w:rsidRPr="00E377CE">
              <w:rPr>
                <w:rFonts w:ascii="Calibri" w:hAnsi="Calibri" w:cs="Calibri"/>
                <w:color w:val="000000"/>
                <w:sz w:val="18"/>
                <w:szCs w:val="18"/>
              </w:rPr>
              <w:t> </w:t>
            </w:r>
          </w:p>
        </w:tc>
      </w:tr>
    </w:tbl>
    <w:p w14:paraId="0F1C369D" w14:textId="64CF1714" w:rsidR="008F03BD" w:rsidRPr="00416657" w:rsidRDefault="008F03BD" w:rsidP="00A119E2">
      <w:pPr>
        <w:spacing w:before="0" w:line="480" w:lineRule="auto"/>
        <w:contextualSpacing/>
        <w:rPr>
          <w:lang w:val="en-US"/>
        </w:rPr>
      </w:pPr>
    </w:p>
    <w:sectPr w:rsidR="008F03BD" w:rsidRPr="00416657" w:rsidSect="005C0C01">
      <w:footerReference w:type="even" r:id="rId9"/>
      <w:footerReference w:type="default" r:id="rId10"/>
      <w:type w:val="continuous"/>
      <w:pgSz w:w="12240" w:h="15840"/>
      <w:pgMar w:top="1417" w:right="1417" w:bottom="1134" w:left="1417"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ADD0" w14:textId="77777777" w:rsidR="00D812DD" w:rsidRDefault="00D812DD">
      <w:pPr>
        <w:spacing w:before="0"/>
      </w:pPr>
      <w:r>
        <w:separator/>
      </w:r>
    </w:p>
  </w:endnote>
  <w:endnote w:type="continuationSeparator" w:id="0">
    <w:p w14:paraId="10E76050" w14:textId="77777777" w:rsidR="00D812DD" w:rsidRDefault="00D812D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C79E" w14:textId="77777777" w:rsidR="009B005B" w:rsidRDefault="003838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DD263" w14:textId="77777777" w:rsidR="009B005B"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7B8C" w14:textId="77777777" w:rsidR="009B005B" w:rsidRPr="000A37FD" w:rsidRDefault="003838E3">
    <w:pPr>
      <w:pStyle w:val="Footer"/>
      <w:framePr w:wrap="around" w:vAnchor="text" w:hAnchor="margin" w:xAlign="right" w:y="1"/>
      <w:rPr>
        <w:rStyle w:val="PageNumber"/>
        <w:sz w:val="22"/>
        <w:szCs w:val="22"/>
      </w:rPr>
    </w:pPr>
    <w:r w:rsidRPr="000A37FD">
      <w:rPr>
        <w:rStyle w:val="PageNumber"/>
        <w:sz w:val="22"/>
        <w:szCs w:val="22"/>
      </w:rPr>
      <w:fldChar w:fldCharType="begin"/>
    </w:r>
    <w:r w:rsidRPr="000A37FD">
      <w:rPr>
        <w:rStyle w:val="PageNumber"/>
        <w:sz w:val="22"/>
        <w:szCs w:val="22"/>
      </w:rPr>
      <w:instrText xml:space="preserve">PAGE  </w:instrText>
    </w:r>
    <w:r w:rsidRPr="000A37FD">
      <w:rPr>
        <w:rStyle w:val="PageNumber"/>
        <w:sz w:val="22"/>
        <w:szCs w:val="22"/>
      </w:rPr>
      <w:fldChar w:fldCharType="separate"/>
    </w:r>
    <w:r w:rsidR="00F3193B">
      <w:rPr>
        <w:rStyle w:val="PageNumber"/>
        <w:noProof/>
        <w:sz w:val="22"/>
        <w:szCs w:val="22"/>
      </w:rPr>
      <w:t>1</w:t>
    </w:r>
    <w:r w:rsidRPr="000A37FD">
      <w:rPr>
        <w:rStyle w:val="PageNumber"/>
        <w:sz w:val="22"/>
        <w:szCs w:val="22"/>
      </w:rPr>
      <w:fldChar w:fldCharType="end"/>
    </w:r>
  </w:p>
  <w:p w14:paraId="0C019F47" w14:textId="77777777" w:rsidR="009B005B" w:rsidRDefault="00000000" w:rsidP="00D51BE1">
    <w:pPr>
      <w:pStyle w:val="Footer"/>
      <w:tabs>
        <w:tab w:val="clear" w:pos="4536"/>
        <w:tab w:val="clear" w:pos="9072"/>
        <w:tab w:val="right" w:pos="9078"/>
      </w:tabs>
      <w:ind w:right="-68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50F7" w14:textId="77777777" w:rsidR="00D812DD" w:rsidRDefault="00D812DD">
      <w:pPr>
        <w:spacing w:before="0"/>
      </w:pPr>
      <w:r>
        <w:separator/>
      </w:r>
    </w:p>
  </w:footnote>
  <w:footnote w:type="continuationSeparator" w:id="0">
    <w:p w14:paraId="51D9B6F6" w14:textId="77777777" w:rsidR="00D812DD" w:rsidRDefault="00D812D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2CE2"/>
    <w:multiLevelType w:val="hybridMultilevel"/>
    <w:tmpl w:val="6A407558"/>
    <w:lvl w:ilvl="0" w:tplc="9918A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510B4"/>
    <w:multiLevelType w:val="hybridMultilevel"/>
    <w:tmpl w:val="3FE6CA60"/>
    <w:lvl w:ilvl="0" w:tplc="740A0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1649E"/>
    <w:multiLevelType w:val="hybridMultilevel"/>
    <w:tmpl w:val="89806274"/>
    <w:lvl w:ilvl="0" w:tplc="5DFE2B96">
      <w:start w:val="2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C5D12"/>
    <w:multiLevelType w:val="hybridMultilevel"/>
    <w:tmpl w:val="3EDC06EE"/>
    <w:lvl w:ilvl="0" w:tplc="EA00B23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6EF32B97"/>
    <w:multiLevelType w:val="hybridMultilevel"/>
    <w:tmpl w:val="5FDE45B8"/>
    <w:lvl w:ilvl="0" w:tplc="E572E0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B7EDA"/>
    <w:multiLevelType w:val="hybridMultilevel"/>
    <w:tmpl w:val="F7A4DE38"/>
    <w:lvl w:ilvl="0" w:tplc="81CA8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410376">
    <w:abstractNumId w:val="2"/>
  </w:num>
  <w:num w:numId="2" w16cid:durableId="1709404150">
    <w:abstractNumId w:val="5"/>
  </w:num>
  <w:num w:numId="3" w16cid:durableId="566459281">
    <w:abstractNumId w:val="0"/>
  </w:num>
  <w:num w:numId="4" w16cid:durableId="2001233515">
    <w:abstractNumId w:val="1"/>
  </w:num>
  <w:num w:numId="5" w16cid:durableId="825363701">
    <w:abstractNumId w:val="4"/>
  </w:num>
  <w:num w:numId="6" w16cid:durableId="1166289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0D"/>
    <w:rsid w:val="00000D17"/>
    <w:rsid w:val="00000FE1"/>
    <w:rsid w:val="00002C84"/>
    <w:rsid w:val="0002000A"/>
    <w:rsid w:val="000208EE"/>
    <w:rsid w:val="000377AC"/>
    <w:rsid w:val="00043494"/>
    <w:rsid w:val="00054EAE"/>
    <w:rsid w:val="00075273"/>
    <w:rsid w:val="00077250"/>
    <w:rsid w:val="00087E4B"/>
    <w:rsid w:val="000A612B"/>
    <w:rsid w:val="000B6F8E"/>
    <w:rsid w:val="000F49EF"/>
    <w:rsid w:val="00121F06"/>
    <w:rsid w:val="0014140B"/>
    <w:rsid w:val="0015754C"/>
    <w:rsid w:val="00160072"/>
    <w:rsid w:val="001624FD"/>
    <w:rsid w:val="00175A27"/>
    <w:rsid w:val="00181A90"/>
    <w:rsid w:val="00184C71"/>
    <w:rsid w:val="001A11FA"/>
    <w:rsid w:val="001A1C11"/>
    <w:rsid w:val="001A2D09"/>
    <w:rsid w:val="001C2EE2"/>
    <w:rsid w:val="001D7A0C"/>
    <w:rsid w:val="001E7952"/>
    <w:rsid w:val="001F0622"/>
    <w:rsid w:val="001F585F"/>
    <w:rsid w:val="002027F1"/>
    <w:rsid w:val="002106DF"/>
    <w:rsid w:val="002150E9"/>
    <w:rsid w:val="002216FB"/>
    <w:rsid w:val="0022455C"/>
    <w:rsid w:val="002319B4"/>
    <w:rsid w:val="00255237"/>
    <w:rsid w:val="00276C95"/>
    <w:rsid w:val="002808F8"/>
    <w:rsid w:val="00293890"/>
    <w:rsid w:val="002B2EC9"/>
    <w:rsid w:val="002B51C0"/>
    <w:rsid w:val="002C403D"/>
    <w:rsid w:val="002D309B"/>
    <w:rsid w:val="002F13A5"/>
    <w:rsid w:val="003115A7"/>
    <w:rsid w:val="003142FC"/>
    <w:rsid w:val="00342782"/>
    <w:rsid w:val="0035070D"/>
    <w:rsid w:val="00356A16"/>
    <w:rsid w:val="00375D83"/>
    <w:rsid w:val="003838E3"/>
    <w:rsid w:val="003A0859"/>
    <w:rsid w:val="003A6BF8"/>
    <w:rsid w:val="003B5D0E"/>
    <w:rsid w:val="003C02E0"/>
    <w:rsid w:val="003C4B9F"/>
    <w:rsid w:val="003E084A"/>
    <w:rsid w:val="004053D7"/>
    <w:rsid w:val="00416657"/>
    <w:rsid w:val="004325A2"/>
    <w:rsid w:val="00434B91"/>
    <w:rsid w:val="004455B6"/>
    <w:rsid w:val="00452E52"/>
    <w:rsid w:val="00464377"/>
    <w:rsid w:val="00470F16"/>
    <w:rsid w:val="004872EE"/>
    <w:rsid w:val="004A50EA"/>
    <w:rsid w:val="004C3F13"/>
    <w:rsid w:val="004D0994"/>
    <w:rsid w:val="004D375F"/>
    <w:rsid w:val="004E2508"/>
    <w:rsid w:val="005308EE"/>
    <w:rsid w:val="0053348C"/>
    <w:rsid w:val="00542E9A"/>
    <w:rsid w:val="00546663"/>
    <w:rsid w:val="00550593"/>
    <w:rsid w:val="00551A47"/>
    <w:rsid w:val="00571A01"/>
    <w:rsid w:val="005A0BDE"/>
    <w:rsid w:val="005B39D2"/>
    <w:rsid w:val="005B516A"/>
    <w:rsid w:val="005C0C01"/>
    <w:rsid w:val="005E3CF3"/>
    <w:rsid w:val="0060429D"/>
    <w:rsid w:val="0061405D"/>
    <w:rsid w:val="00664272"/>
    <w:rsid w:val="0067226F"/>
    <w:rsid w:val="00675DA2"/>
    <w:rsid w:val="00692274"/>
    <w:rsid w:val="00695968"/>
    <w:rsid w:val="006A7586"/>
    <w:rsid w:val="006A778D"/>
    <w:rsid w:val="006B711D"/>
    <w:rsid w:val="006D03AB"/>
    <w:rsid w:val="006E3333"/>
    <w:rsid w:val="00706D0C"/>
    <w:rsid w:val="0071784C"/>
    <w:rsid w:val="007359A7"/>
    <w:rsid w:val="00786FF3"/>
    <w:rsid w:val="007A6D90"/>
    <w:rsid w:val="007B22BB"/>
    <w:rsid w:val="007C1030"/>
    <w:rsid w:val="007C3F25"/>
    <w:rsid w:val="007C4E22"/>
    <w:rsid w:val="007C6DC5"/>
    <w:rsid w:val="008064B4"/>
    <w:rsid w:val="00816EC0"/>
    <w:rsid w:val="008323D0"/>
    <w:rsid w:val="008674FD"/>
    <w:rsid w:val="0088024E"/>
    <w:rsid w:val="008804C5"/>
    <w:rsid w:val="00883930"/>
    <w:rsid w:val="00892DD3"/>
    <w:rsid w:val="00896736"/>
    <w:rsid w:val="008A386E"/>
    <w:rsid w:val="008D6389"/>
    <w:rsid w:val="008D7A26"/>
    <w:rsid w:val="008E06F1"/>
    <w:rsid w:val="008E7CDD"/>
    <w:rsid w:val="008F03BD"/>
    <w:rsid w:val="00917A4A"/>
    <w:rsid w:val="009202A4"/>
    <w:rsid w:val="00943FA1"/>
    <w:rsid w:val="009516FC"/>
    <w:rsid w:val="00951FC1"/>
    <w:rsid w:val="00962E9B"/>
    <w:rsid w:val="00972D63"/>
    <w:rsid w:val="00981DBA"/>
    <w:rsid w:val="00987B29"/>
    <w:rsid w:val="009A1000"/>
    <w:rsid w:val="009C70F1"/>
    <w:rsid w:val="009C7357"/>
    <w:rsid w:val="009E5207"/>
    <w:rsid w:val="009E60BC"/>
    <w:rsid w:val="009E6357"/>
    <w:rsid w:val="00A119E2"/>
    <w:rsid w:val="00A13512"/>
    <w:rsid w:val="00A15BEA"/>
    <w:rsid w:val="00A20FC3"/>
    <w:rsid w:val="00A54945"/>
    <w:rsid w:val="00A5525D"/>
    <w:rsid w:val="00A61867"/>
    <w:rsid w:val="00A66DA4"/>
    <w:rsid w:val="00A761C2"/>
    <w:rsid w:val="00A77351"/>
    <w:rsid w:val="00A8220D"/>
    <w:rsid w:val="00A83E31"/>
    <w:rsid w:val="00A84D57"/>
    <w:rsid w:val="00A93587"/>
    <w:rsid w:val="00AB2FDC"/>
    <w:rsid w:val="00AC7CAA"/>
    <w:rsid w:val="00AD5558"/>
    <w:rsid w:val="00AE7557"/>
    <w:rsid w:val="00B03774"/>
    <w:rsid w:val="00B12415"/>
    <w:rsid w:val="00B21B95"/>
    <w:rsid w:val="00B57B95"/>
    <w:rsid w:val="00B66210"/>
    <w:rsid w:val="00B67987"/>
    <w:rsid w:val="00B86C58"/>
    <w:rsid w:val="00BB39FD"/>
    <w:rsid w:val="00C030EB"/>
    <w:rsid w:val="00C24572"/>
    <w:rsid w:val="00C436CA"/>
    <w:rsid w:val="00C47DA8"/>
    <w:rsid w:val="00C50013"/>
    <w:rsid w:val="00C706B7"/>
    <w:rsid w:val="00C71E2B"/>
    <w:rsid w:val="00C8566C"/>
    <w:rsid w:val="00C92343"/>
    <w:rsid w:val="00C9317F"/>
    <w:rsid w:val="00C94723"/>
    <w:rsid w:val="00C9687E"/>
    <w:rsid w:val="00CA10CB"/>
    <w:rsid w:val="00CA255D"/>
    <w:rsid w:val="00CB1F88"/>
    <w:rsid w:val="00CC2262"/>
    <w:rsid w:val="00CC2E4D"/>
    <w:rsid w:val="00CF58A8"/>
    <w:rsid w:val="00D013F4"/>
    <w:rsid w:val="00D106A9"/>
    <w:rsid w:val="00D108F2"/>
    <w:rsid w:val="00D359F5"/>
    <w:rsid w:val="00D5424D"/>
    <w:rsid w:val="00D65966"/>
    <w:rsid w:val="00D75EB3"/>
    <w:rsid w:val="00D76628"/>
    <w:rsid w:val="00D76BBA"/>
    <w:rsid w:val="00D812DD"/>
    <w:rsid w:val="00D83CB0"/>
    <w:rsid w:val="00D909A7"/>
    <w:rsid w:val="00D93E4C"/>
    <w:rsid w:val="00D96CE8"/>
    <w:rsid w:val="00DD4577"/>
    <w:rsid w:val="00DD5211"/>
    <w:rsid w:val="00DF035A"/>
    <w:rsid w:val="00E04826"/>
    <w:rsid w:val="00E240C8"/>
    <w:rsid w:val="00E3019F"/>
    <w:rsid w:val="00E42442"/>
    <w:rsid w:val="00E437A5"/>
    <w:rsid w:val="00E708BF"/>
    <w:rsid w:val="00E71CDB"/>
    <w:rsid w:val="00E749FD"/>
    <w:rsid w:val="00E9360C"/>
    <w:rsid w:val="00EE309C"/>
    <w:rsid w:val="00EE4610"/>
    <w:rsid w:val="00EE4EAD"/>
    <w:rsid w:val="00EF514C"/>
    <w:rsid w:val="00F05390"/>
    <w:rsid w:val="00F11A00"/>
    <w:rsid w:val="00F2469B"/>
    <w:rsid w:val="00F3193B"/>
    <w:rsid w:val="00F40DD8"/>
    <w:rsid w:val="00F4520E"/>
    <w:rsid w:val="00F473EA"/>
    <w:rsid w:val="00F629E7"/>
    <w:rsid w:val="00F741E8"/>
    <w:rsid w:val="00F92D02"/>
    <w:rsid w:val="00FD54F0"/>
    <w:rsid w:val="00FE1814"/>
    <w:rsid w:val="00FE4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FC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220D"/>
    <w:pPr>
      <w:spacing w:before="120" w:after="0" w:line="240" w:lineRule="auto"/>
    </w:pPr>
    <w:rPr>
      <w:rFonts w:ascii="Times New Roman" w:eastAsia="Times New Roman" w:hAnsi="Times New Roman" w:cs="Times New Roman"/>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220D"/>
    <w:pPr>
      <w:tabs>
        <w:tab w:val="center" w:pos="4536"/>
        <w:tab w:val="right" w:pos="9072"/>
      </w:tabs>
    </w:pPr>
  </w:style>
  <w:style w:type="character" w:customStyle="1" w:styleId="FooterChar">
    <w:name w:val="Footer Char"/>
    <w:basedOn w:val="DefaultParagraphFont"/>
    <w:link w:val="Footer"/>
    <w:uiPriority w:val="99"/>
    <w:rsid w:val="00A8220D"/>
    <w:rPr>
      <w:rFonts w:ascii="Times New Roman" w:eastAsia="Times New Roman" w:hAnsi="Times New Roman" w:cs="Times New Roman"/>
      <w:sz w:val="24"/>
      <w:szCs w:val="24"/>
      <w:lang w:val="en-GB" w:eastAsia="de-DE"/>
    </w:rPr>
  </w:style>
  <w:style w:type="character" w:styleId="PageNumber">
    <w:name w:val="page number"/>
    <w:basedOn w:val="DefaultParagraphFont"/>
    <w:rsid w:val="00A8220D"/>
  </w:style>
  <w:style w:type="paragraph" w:styleId="BodyText">
    <w:name w:val="Body Text"/>
    <w:basedOn w:val="Normal"/>
    <w:link w:val="BodyTextChar"/>
    <w:rsid w:val="00A8220D"/>
    <w:pPr>
      <w:spacing w:line="480" w:lineRule="auto"/>
    </w:pPr>
    <w:rPr>
      <w:color w:val="FFFFFF"/>
      <w:lang w:val="en-US"/>
    </w:rPr>
  </w:style>
  <w:style w:type="character" w:customStyle="1" w:styleId="BodyTextChar">
    <w:name w:val="Body Text Char"/>
    <w:basedOn w:val="DefaultParagraphFont"/>
    <w:link w:val="BodyText"/>
    <w:rsid w:val="00A8220D"/>
    <w:rPr>
      <w:rFonts w:ascii="Times New Roman" w:eastAsia="Times New Roman" w:hAnsi="Times New Roman" w:cs="Times New Roman"/>
      <w:color w:val="FFFFFF"/>
      <w:sz w:val="24"/>
      <w:szCs w:val="24"/>
      <w:lang w:eastAsia="de-DE"/>
    </w:rPr>
  </w:style>
  <w:style w:type="character" w:styleId="CommentReference">
    <w:name w:val="annotation reference"/>
    <w:semiHidden/>
    <w:rsid w:val="00A8220D"/>
    <w:rPr>
      <w:sz w:val="16"/>
      <w:szCs w:val="16"/>
    </w:rPr>
  </w:style>
  <w:style w:type="paragraph" w:styleId="CommentText">
    <w:name w:val="annotation text"/>
    <w:basedOn w:val="Normal"/>
    <w:link w:val="CommentTextChar"/>
    <w:semiHidden/>
    <w:rsid w:val="00A8220D"/>
    <w:rPr>
      <w:sz w:val="20"/>
      <w:szCs w:val="20"/>
    </w:rPr>
  </w:style>
  <w:style w:type="character" w:customStyle="1" w:styleId="CommentTextChar">
    <w:name w:val="Comment Text Char"/>
    <w:basedOn w:val="DefaultParagraphFont"/>
    <w:link w:val="CommentText"/>
    <w:semiHidden/>
    <w:rsid w:val="00A8220D"/>
    <w:rPr>
      <w:rFonts w:ascii="Times New Roman" w:eastAsia="Times New Roman" w:hAnsi="Times New Roman" w:cs="Times New Roman"/>
      <w:sz w:val="20"/>
      <w:szCs w:val="20"/>
      <w:lang w:val="en-GB" w:eastAsia="de-DE"/>
    </w:rPr>
  </w:style>
  <w:style w:type="paragraph" w:customStyle="1" w:styleId="Default">
    <w:name w:val="Default"/>
    <w:rsid w:val="00A8220D"/>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customStyle="1" w:styleId="Standardtext">
    <w:name w:val="Standardtext"/>
    <w:basedOn w:val="Normal"/>
    <w:link w:val="StandardtextZchn"/>
    <w:rsid w:val="00A8220D"/>
    <w:pPr>
      <w:spacing w:before="0" w:line="360" w:lineRule="auto"/>
      <w:ind w:firstLine="709"/>
      <w:jc w:val="both"/>
    </w:pPr>
    <w:rPr>
      <w:rFonts w:ascii="Arial" w:hAnsi="Arial"/>
      <w:sz w:val="22"/>
      <w:lang w:val="de-DE"/>
    </w:rPr>
  </w:style>
  <w:style w:type="character" w:customStyle="1" w:styleId="StandardtextZchn">
    <w:name w:val="Standardtext Zchn"/>
    <w:link w:val="Standardtext"/>
    <w:rsid w:val="00A8220D"/>
    <w:rPr>
      <w:rFonts w:ascii="Arial" w:eastAsia="Times New Roman" w:hAnsi="Arial" w:cs="Times New Roman"/>
      <w:szCs w:val="24"/>
      <w:lang w:val="de-DE" w:eastAsia="de-DE"/>
    </w:rPr>
  </w:style>
  <w:style w:type="table" w:styleId="TableGrid">
    <w:name w:val="Table Grid"/>
    <w:basedOn w:val="TableNormal"/>
    <w:uiPriority w:val="59"/>
    <w:rsid w:val="00A8220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20D"/>
    <w:pPr>
      <w:ind w:left="720"/>
      <w:contextualSpacing/>
    </w:pPr>
  </w:style>
  <w:style w:type="paragraph" w:styleId="Bibliography">
    <w:name w:val="Bibliography"/>
    <w:basedOn w:val="Normal"/>
    <w:next w:val="Normal"/>
    <w:uiPriority w:val="37"/>
    <w:unhideWhenUsed/>
    <w:rsid w:val="00A8220D"/>
    <w:pPr>
      <w:ind w:left="720" w:hanging="720"/>
    </w:pPr>
  </w:style>
  <w:style w:type="paragraph" w:styleId="BalloonText">
    <w:name w:val="Balloon Text"/>
    <w:basedOn w:val="Normal"/>
    <w:link w:val="BalloonTextChar"/>
    <w:uiPriority w:val="99"/>
    <w:semiHidden/>
    <w:unhideWhenUsed/>
    <w:rsid w:val="00A8220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20D"/>
    <w:rPr>
      <w:rFonts w:ascii="Tahoma" w:eastAsia="Times New Roman" w:hAnsi="Tahoma" w:cs="Tahoma"/>
      <w:sz w:val="16"/>
      <w:szCs w:val="16"/>
      <w:lang w:val="en-GB" w:eastAsia="de-DE"/>
    </w:rPr>
  </w:style>
  <w:style w:type="character" w:styleId="Hyperlink">
    <w:name w:val="Hyperlink"/>
    <w:basedOn w:val="DefaultParagraphFont"/>
    <w:uiPriority w:val="99"/>
    <w:unhideWhenUsed/>
    <w:rsid w:val="0022455C"/>
    <w:rPr>
      <w:color w:val="0000FF" w:themeColor="hyperlink"/>
      <w:u w:val="single"/>
    </w:rPr>
  </w:style>
  <w:style w:type="character" w:styleId="UnresolvedMention">
    <w:name w:val="Unresolved Mention"/>
    <w:basedOn w:val="DefaultParagraphFont"/>
    <w:uiPriority w:val="99"/>
    <w:rsid w:val="0022455C"/>
    <w:rPr>
      <w:color w:val="605E5C"/>
      <w:shd w:val="clear" w:color="auto" w:fill="E1DFDD"/>
    </w:rPr>
  </w:style>
  <w:style w:type="paragraph" w:styleId="NormalWeb">
    <w:name w:val="Normal (Web)"/>
    <w:basedOn w:val="Normal"/>
    <w:uiPriority w:val="99"/>
    <w:unhideWhenUsed/>
    <w:rsid w:val="002C403D"/>
    <w:pPr>
      <w:spacing w:before="100" w:beforeAutospacing="1" w:after="100" w:afterAutospacing="1"/>
    </w:pPr>
    <w:rPr>
      <w:lang w:val="en-US" w:eastAsia="en-US"/>
    </w:rPr>
  </w:style>
  <w:style w:type="character" w:styleId="Strong">
    <w:name w:val="Strong"/>
    <w:basedOn w:val="DefaultParagraphFont"/>
    <w:uiPriority w:val="22"/>
    <w:qFormat/>
    <w:rsid w:val="00255237"/>
    <w:rPr>
      <w:b/>
      <w:bCs/>
    </w:rPr>
  </w:style>
  <w:style w:type="paragraph" w:styleId="Revision">
    <w:name w:val="Revision"/>
    <w:hidden/>
    <w:uiPriority w:val="99"/>
    <w:semiHidden/>
    <w:rsid w:val="00A66DA4"/>
    <w:pPr>
      <w:spacing w:after="0" w:line="240" w:lineRule="auto"/>
    </w:pPr>
    <w:rPr>
      <w:rFonts w:ascii="Times New Roman" w:eastAsia="Times New Roman" w:hAnsi="Times New Roman" w:cs="Times New Roman"/>
      <w:sz w:val="24"/>
      <w:szCs w:val="24"/>
      <w:lang w:val="en-GB" w:eastAsia="de-DE"/>
    </w:rPr>
  </w:style>
  <w:style w:type="paragraph" w:styleId="CommentSubject">
    <w:name w:val="annotation subject"/>
    <w:basedOn w:val="CommentText"/>
    <w:next w:val="CommentText"/>
    <w:link w:val="CommentSubjectChar"/>
    <w:uiPriority w:val="99"/>
    <w:semiHidden/>
    <w:unhideWhenUsed/>
    <w:rsid w:val="004A50EA"/>
    <w:rPr>
      <w:b/>
      <w:bCs/>
    </w:rPr>
  </w:style>
  <w:style w:type="character" w:customStyle="1" w:styleId="CommentSubjectChar">
    <w:name w:val="Comment Subject Char"/>
    <w:basedOn w:val="CommentTextChar"/>
    <w:link w:val="CommentSubject"/>
    <w:uiPriority w:val="99"/>
    <w:semiHidden/>
    <w:rsid w:val="004A50EA"/>
    <w:rPr>
      <w:rFonts w:ascii="Times New Roman" w:eastAsia="Times New Roman" w:hAnsi="Times New Roman" w:cs="Times New Roman"/>
      <w:b/>
      <w:bCs/>
      <w:sz w:val="20"/>
      <w:szCs w:val="20"/>
      <w:lang w:val="en-GB" w:eastAsia="de-DE"/>
    </w:rPr>
  </w:style>
  <w:style w:type="character" w:styleId="LineNumber">
    <w:name w:val="line number"/>
    <w:basedOn w:val="DefaultParagraphFont"/>
    <w:uiPriority w:val="99"/>
    <w:semiHidden/>
    <w:unhideWhenUsed/>
    <w:rsid w:val="005C0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509">
      <w:bodyDiv w:val="1"/>
      <w:marLeft w:val="0"/>
      <w:marRight w:val="0"/>
      <w:marTop w:val="0"/>
      <w:marBottom w:val="0"/>
      <w:divBdr>
        <w:top w:val="none" w:sz="0" w:space="0" w:color="auto"/>
        <w:left w:val="none" w:sz="0" w:space="0" w:color="auto"/>
        <w:bottom w:val="none" w:sz="0" w:space="0" w:color="auto"/>
        <w:right w:val="none" w:sz="0" w:space="0" w:color="auto"/>
      </w:divBdr>
    </w:div>
    <w:div w:id="46491798">
      <w:bodyDiv w:val="1"/>
      <w:marLeft w:val="0"/>
      <w:marRight w:val="0"/>
      <w:marTop w:val="0"/>
      <w:marBottom w:val="0"/>
      <w:divBdr>
        <w:top w:val="none" w:sz="0" w:space="0" w:color="auto"/>
        <w:left w:val="none" w:sz="0" w:space="0" w:color="auto"/>
        <w:bottom w:val="none" w:sz="0" w:space="0" w:color="auto"/>
        <w:right w:val="none" w:sz="0" w:space="0" w:color="auto"/>
      </w:divBdr>
      <w:divsChild>
        <w:div w:id="247425825">
          <w:marLeft w:val="0"/>
          <w:marRight w:val="0"/>
          <w:marTop w:val="0"/>
          <w:marBottom w:val="0"/>
          <w:divBdr>
            <w:top w:val="none" w:sz="0" w:space="0" w:color="auto"/>
            <w:left w:val="none" w:sz="0" w:space="0" w:color="auto"/>
            <w:bottom w:val="none" w:sz="0" w:space="0" w:color="auto"/>
            <w:right w:val="none" w:sz="0" w:space="0" w:color="auto"/>
          </w:divBdr>
        </w:div>
      </w:divsChild>
    </w:div>
    <w:div w:id="422802795">
      <w:bodyDiv w:val="1"/>
      <w:marLeft w:val="0"/>
      <w:marRight w:val="0"/>
      <w:marTop w:val="0"/>
      <w:marBottom w:val="0"/>
      <w:divBdr>
        <w:top w:val="none" w:sz="0" w:space="0" w:color="auto"/>
        <w:left w:val="none" w:sz="0" w:space="0" w:color="auto"/>
        <w:bottom w:val="none" w:sz="0" w:space="0" w:color="auto"/>
        <w:right w:val="none" w:sz="0" w:space="0" w:color="auto"/>
      </w:divBdr>
      <w:divsChild>
        <w:div w:id="117994455">
          <w:marLeft w:val="0"/>
          <w:marRight w:val="0"/>
          <w:marTop w:val="0"/>
          <w:marBottom w:val="0"/>
          <w:divBdr>
            <w:top w:val="none" w:sz="0" w:space="0" w:color="auto"/>
            <w:left w:val="none" w:sz="0" w:space="0" w:color="auto"/>
            <w:bottom w:val="none" w:sz="0" w:space="0" w:color="auto"/>
            <w:right w:val="none" w:sz="0" w:space="0" w:color="auto"/>
          </w:divBdr>
        </w:div>
      </w:divsChild>
    </w:div>
    <w:div w:id="769814973">
      <w:bodyDiv w:val="1"/>
      <w:marLeft w:val="0"/>
      <w:marRight w:val="0"/>
      <w:marTop w:val="0"/>
      <w:marBottom w:val="0"/>
      <w:divBdr>
        <w:top w:val="none" w:sz="0" w:space="0" w:color="auto"/>
        <w:left w:val="none" w:sz="0" w:space="0" w:color="auto"/>
        <w:bottom w:val="none" w:sz="0" w:space="0" w:color="auto"/>
        <w:right w:val="none" w:sz="0" w:space="0" w:color="auto"/>
      </w:divBdr>
      <w:divsChild>
        <w:div w:id="222063464">
          <w:marLeft w:val="0"/>
          <w:marRight w:val="0"/>
          <w:marTop w:val="0"/>
          <w:marBottom w:val="0"/>
          <w:divBdr>
            <w:top w:val="none" w:sz="0" w:space="0" w:color="auto"/>
            <w:left w:val="none" w:sz="0" w:space="0" w:color="auto"/>
            <w:bottom w:val="none" w:sz="0" w:space="0" w:color="auto"/>
            <w:right w:val="none" w:sz="0" w:space="0" w:color="auto"/>
          </w:divBdr>
        </w:div>
      </w:divsChild>
    </w:div>
    <w:div w:id="876166871">
      <w:bodyDiv w:val="1"/>
      <w:marLeft w:val="0"/>
      <w:marRight w:val="0"/>
      <w:marTop w:val="0"/>
      <w:marBottom w:val="0"/>
      <w:divBdr>
        <w:top w:val="none" w:sz="0" w:space="0" w:color="auto"/>
        <w:left w:val="none" w:sz="0" w:space="0" w:color="auto"/>
        <w:bottom w:val="none" w:sz="0" w:space="0" w:color="auto"/>
        <w:right w:val="none" w:sz="0" w:space="0" w:color="auto"/>
      </w:divBdr>
    </w:div>
    <w:div w:id="902375783">
      <w:bodyDiv w:val="1"/>
      <w:marLeft w:val="0"/>
      <w:marRight w:val="0"/>
      <w:marTop w:val="0"/>
      <w:marBottom w:val="0"/>
      <w:divBdr>
        <w:top w:val="none" w:sz="0" w:space="0" w:color="auto"/>
        <w:left w:val="none" w:sz="0" w:space="0" w:color="auto"/>
        <w:bottom w:val="none" w:sz="0" w:space="0" w:color="auto"/>
        <w:right w:val="none" w:sz="0" w:space="0" w:color="auto"/>
      </w:divBdr>
    </w:div>
    <w:div w:id="1025904210">
      <w:bodyDiv w:val="1"/>
      <w:marLeft w:val="0"/>
      <w:marRight w:val="0"/>
      <w:marTop w:val="0"/>
      <w:marBottom w:val="0"/>
      <w:divBdr>
        <w:top w:val="none" w:sz="0" w:space="0" w:color="auto"/>
        <w:left w:val="none" w:sz="0" w:space="0" w:color="auto"/>
        <w:bottom w:val="none" w:sz="0" w:space="0" w:color="auto"/>
        <w:right w:val="none" w:sz="0" w:space="0" w:color="auto"/>
      </w:divBdr>
    </w:div>
    <w:div w:id="1111971630">
      <w:bodyDiv w:val="1"/>
      <w:marLeft w:val="0"/>
      <w:marRight w:val="0"/>
      <w:marTop w:val="0"/>
      <w:marBottom w:val="0"/>
      <w:divBdr>
        <w:top w:val="none" w:sz="0" w:space="0" w:color="auto"/>
        <w:left w:val="none" w:sz="0" w:space="0" w:color="auto"/>
        <w:bottom w:val="none" w:sz="0" w:space="0" w:color="auto"/>
        <w:right w:val="none" w:sz="0" w:space="0" w:color="auto"/>
      </w:divBdr>
    </w:div>
    <w:div w:id="1355686504">
      <w:bodyDiv w:val="1"/>
      <w:marLeft w:val="0"/>
      <w:marRight w:val="0"/>
      <w:marTop w:val="0"/>
      <w:marBottom w:val="0"/>
      <w:divBdr>
        <w:top w:val="none" w:sz="0" w:space="0" w:color="auto"/>
        <w:left w:val="none" w:sz="0" w:space="0" w:color="auto"/>
        <w:bottom w:val="none" w:sz="0" w:space="0" w:color="auto"/>
        <w:right w:val="none" w:sz="0" w:space="0" w:color="auto"/>
      </w:divBdr>
    </w:div>
    <w:div w:id="1435057865">
      <w:bodyDiv w:val="1"/>
      <w:marLeft w:val="0"/>
      <w:marRight w:val="0"/>
      <w:marTop w:val="0"/>
      <w:marBottom w:val="0"/>
      <w:divBdr>
        <w:top w:val="none" w:sz="0" w:space="0" w:color="auto"/>
        <w:left w:val="none" w:sz="0" w:space="0" w:color="auto"/>
        <w:bottom w:val="none" w:sz="0" w:space="0" w:color="auto"/>
        <w:right w:val="none" w:sz="0" w:space="0" w:color="auto"/>
      </w:divBdr>
    </w:div>
    <w:div w:id="1645427920">
      <w:bodyDiv w:val="1"/>
      <w:marLeft w:val="0"/>
      <w:marRight w:val="0"/>
      <w:marTop w:val="0"/>
      <w:marBottom w:val="0"/>
      <w:divBdr>
        <w:top w:val="none" w:sz="0" w:space="0" w:color="auto"/>
        <w:left w:val="none" w:sz="0" w:space="0" w:color="auto"/>
        <w:bottom w:val="none" w:sz="0" w:space="0" w:color="auto"/>
        <w:right w:val="none" w:sz="0" w:space="0" w:color="auto"/>
      </w:divBdr>
    </w:div>
    <w:div w:id="1797917621">
      <w:bodyDiv w:val="1"/>
      <w:marLeft w:val="0"/>
      <w:marRight w:val="0"/>
      <w:marTop w:val="0"/>
      <w:marBottom w:val="0"/>
      <w:divBdr>
        <w:top w:val="none" w:sz="0" w:space="0" w:color="auto"/>
        <w:left w:val="none" w:sz="0" w:space="0" w:color="auto"/>
        <w:bottom w:val="none" w:sz="0" w:space="0" w:color="auto"/>
        <w:right w:val="none" w:sz="0" w:space="0" w:color="auto"/>
      </w:divBdr>
      <w:divsChild>
        <w:div w:id="359934354">
          <w:marLeft w:val="0"/>
          <w:marRight w:val="0"/>
          <w:marTop w:val="0"/>
          <w:marBottom w:val="0"/>
          <w:divBdr>
            <w:top w:val="none" w:sz="0" w:space="0" w:color="auto"/>
            <w:left w:val="none" w:sz="0" w:space="0" w:color="auto"/>
            <w:bottom w:val="none" w:sz="0" w:space="0" w:color="auto"/>
            <w:right w:val="none" w:sz="0" w:space="0" w:color="auto"/>
          </w:divBdr>
        </w:div>
      </w:divsChild>
    </w:div>
    <w:div w:id="1933929555">
      <w:bodyDiv w:val="1"/>
      <w:marLeft w:val="0"/>
      <w:marRight w:val="0"/>
      <w:marTop w:val="0"/>
      <w:marBottom w:val="0"/>
      <w:divBdr>
        <w:top w:val="none" w:sz="0" w:space="0" w:color="auto"/>
        <w:left w:val="none" w:sz="0" w:space="0" w:color="auto"/>
        <w:bottom w:val="none" w:sz="0" w:space="0" w:color="auto"/>
        <w:right w:val="none" w:sz="0" w:space="0" w:color="auto"/>
      </w:divBdr>
    </w:div>
    <w:div w:id="205862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fia.Kozak@som.umaryland.ed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4BC6FF5907F74CB0855F47A3DDE5EA" ma:contentTypeVersion="16" ma:contentTypeDescription="Create a new document." ma:contentTypeScope="" ma:versionID="e5a8176f1a4ae640d7aed673ee12966a">
  <xsd:schema xmlns:xsd="http://www.w3.org/2001/XMLSchema" xmlns:xs="http://www.w3.org/2001/XMLSchema" xmlns:p="http://schemas.microsoft.com/office/2006/metadata/properties" xmlns:ns2="9dedadbe-1e86-4bd7-b689-fccadd00bf2a" xmlns:ns3="be12b2b6-cb1d-45cf-bee8-b1de399296bd" targetNamespace="http://schemas.microsoft.com/office/2006/metadata/properties" ma:root="true" ma:fieldsID="e04ae491b3c6f8e6bf6196bf30f87b6a" ns2:_="" ns3:_="">
    <xsd:import namespace="9dedadbe-1e86-4bd7-b689-fccadd00bf2a"/>
    <xsd:import namespace="be12b2b6-cb1d-45cf-bee8-b1de399296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dadbe-1e86-4bd7-b689-fccadd00b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8236c5-be69-471d-9be1-3937701cda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12b2b6-cb1d-45cf-bee8-b1de399296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84abfc-d24b-48bc-acca-cb45abd81411}" ma:internalName="TaxCatchAll" ma:showField="CatchAllData" ma:web="be12b2b6-cb1d-45cf-bee8-b1de399296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043B1F-6612-AB46-97F0-2688D1AE7282}">
  <ds:schemaRefs>
    <ds:schemaRef ds:uri="http://schemas.openxmlformats.org/officeDocument/2006/bibliography"/>
  </ds:schemaRefs>
</ds:datastoreItem>
</file>

<file path=customXml/itemProps2.xml><?xml version="1.0" encoding="utf-8"?>
<ds:datastoreItem xmlns:ds="http://schemas.openxmlformats.org/officeDocument/2006/customXml" ds:itemID="{18DD7893-8F63-47D2-8F5D-0E5A613621AD}"/>
</file>

<file path=customXml/itemProps3.xml><?xml version="1.0" encoding="utf-8"?>
<ds:datastoreItem xmlns:ds="http://schemas.openxmlformats.org/officeDocument/2006/customXml" ds:itemID="{98F2192E-CFF1-49F2-8900-4C62EA450C9D}"/>
</file>

<file path=docProps/app.xml><?xml version="1.0" encoding="utf-8"?>
<Properties xmlns="http://schemas.openxmlformats.org/officeDocument/2006/extended-properties" xmlns:vt="http://schemas.openxmlformats.org/officeDocument/2006/docPropsVTypes">
  <Template>Normal.dotm</Template>
  <TotalTime>43</TotalTime>
  <Pages>20</Pages>
  <Words>24481</Words>
  <Characters>139548</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Thrul, Johannes</dc:creator>
  <cp:lastModifiedBy>Kozak, Zofia</cp:lastModifiedBy>
  <cp:revision>11</cp:revision>
  <dcterms:created xsi:type="dcterms:W3CDTF">2023-01-20T02:20:00Z</dcterms:created>
  <dcterms:modified xsi:type="dcterms:W3CDTF">2023-01-24T20:21:00Z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id="QRz9L8kC"/&gt;&lt;style id="http://www.zotero.org/styles/drug-and-alcohol-dependence" hasBibliography="1" bibliographyStyleHasBeenSet="1"/&gt;&lt;prefs&gt;&lt;pref name="fieldType" value="Field"/&gt;&lt;/prefs&gt;&lt;/data&gt;</vt:lpwstr>
  </property>
</Properties>
</file>